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E31C76" w:rsidRPr="00546AE1" w:rsidTr="0002468E">
        <w:tc>
          <w:tcPr>
            <w:tcW w:w="9576" w:type="dxa"/>
          </w:tcPr>
          <w:p w:rsidR="00E31C76" w:rsidRPr="00546AE1" w:rsidRDefault="00E31C76" w:rsidP="000246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46AE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باسمه تعالی</w:t>
            </w:r>
          </w:p>
          <w:p w:rsidR="00E31C76" w:rsidRPr="00546AE1" w:rsidRDefault="00E31C76" w:rsidP="000246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E31C76" w:rsidRPr="00546AE1" w:rsidRDefault="00E31C76" w:rsidP="000246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46AE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صورتجلسه دیدار ماهانه (آذر ماه) اعضاء محترم هیئت علمی با هیئت محترم رئیسه پژوهشگاه علوم انسانی و مطالعات فرهنگی </w:t>
            </w:r>
          </w:p>
          <w:p w:rsidR="00E31C76" w:rsidRPr="00546AE1" w:rsidRDefault="00E31C76" w:rsidP="000246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E31C76" w:rsidRPr="00546AE1" w:rsidRDefault="00E31C76" w:rsidP="0002468E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تاریخ: 05/09/97                                 ساعت: 15 ـ13:30            مکان: سالن حکمت</w:t>
            </w:r>
          </w:p>
        </w:tc>
      </w:tr>
      <w:tr w:rsidR="00E31C76" w:rsidRPr="00546AE1" w:rsidTr="0002468E">
        <w:tc>
          <w:tcPr>
            <w:tcW w:w="9576" w:type="dxa"/>
          </w:tcPr>
          <w:p w:rsidR="00E31C76" w:rsidRPr="00546AE1" w:rsidRDefault="00E31C76" w:rsidP="0002468E">
            <w:pPr>
              <w:bidi/>
              <w:spacing w:after="0" w:line="240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46AE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دستور جلسه: </w:t>
            </w:r>
          </w:p>
          <w:p w:rsidR="00E31C76" w:rsidRPr="00546AE1" w:rsidRDefault="00E31C76" w:rsidP="0002468E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ارائه گزارش سرکار خانم دکتر توحیدلو، ریاست محترم پژوهشکده علوم انسانی و اجتماعی کاربردی در خصوص وظایف پژوهشکده مذکور و راهکارهای تقویت همکاری اعضاء با پژوهشکده </w:t>
            </w:r>
          </w:p>
          <w:p w:rsidR="00E31C76" w:rsidRPr="00546AE1" w:rsidRDefault="00E31C76" w:rsidP="0002468E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spacing w:after="0" w:line="240" w:lineRule="auto"/>
              <w:ind w:left="821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ارائه گزارش جناب آقای دکتر رفیعی، مدیر محترم نشر و ویرایش پژوهشگاه، و رئیس شورای صنفی در خصوص شورای صنفی اعضاء محترم هیئت علمی  </w:t>
            </w:r>
          </w:p>
          <w:p w:rsidR="00E31C76" w:rsidRPr="00546AE1" w:rsidRDefault="00E31C76" w:rsidP="0002468E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spacing w:after="0" w:line="240" w:lineRule="auto"/>
              <w:ind w:left="821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موارد ارجاعی </w:t>
            </w:r>
          </w:p>
        </w:tc>
      </w:tr>
      <w:tr w:rsidR="00E31C76" w:rsidRPr="00546AE1" w:rsidTr="0002468E">
        <w:trPr>
          <w:trHeight w:val="143"/>
        </w:trPr>
        <w:tc>
          <w:tcPr>
            <w:tcW w:w="9576" w:type="dxa"/>
          </w:tcPr>
          <w:p w:rsidR="00E31C76" w:rsidRPr="00546AE1" w:rsidRDefault="00E31C76" w:rsidP="0002468E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cs="B Zar" w:hint="cs"/>
                <w:sz w:val="28"/>
                <w:szCs w:val="28"/>
                <w:rtl/>
                <w:lang w:bidi="fa-IR"/>
              </w:rPr>
              <w:t>جلسه در ابتدا با پخش آیاتی از کلام</w:t>
            </w:r>
            <w:r w:rsidRPr="00546AE1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cs="B Zar" w:hint="cs"/>
                <w:sz w:val="28"/>
                <w:szCs w:val="28"/>
                <w:rtl/>
                <w:lang w:bidi="fa-IR"/>
              </w:rPr>
              <w:t>الله مجید آغاز و سپس با سخنرانی سرکار خانم دکتر نصیری، مدیر محترم دفتر امور هیئت علمی، ادامه یافت. ایشان ضمن  قرائت دستور جلسه، و به منظور شروع جلسه، از سرکار خانم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دکتر توحیدلو ریاست محترم پژوهشکده علوم انسانی و اجتماعی کاربردی</w:t>
            </w:r>
            <w:r w:rsidRPr="00546AE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دعوت نمودند تا گزارشی را به منظور معرفی پژوهشکده و عملکردهای آن ارائه نمایند. </w:t>
            </w:r>
          </w:p>
        </w:tc>
      </w:tr>
      <w:tr w:rsidR="00E31C76" w:rsidRPr="00546AE1" w:rsidTr="0002468E">
        <w:trPr>
          <w:trHeight w:val="143"/>
        </w:trPr>
        <w:tc>
          <w:tcPr>
            <w:tcW w:w="9576" w:type="dxa"/>
          </w:tcPr>
          <w:p w:rsidR="00E31C76" w:rsidRPr="00546AE1" w:rsidRDefault="00E31C76" w:rsidP="0002468E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سخنرانی </w:t>
            </w:r>
            <w:r w:rsidRPr="00546AE1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سرکار خانم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46AE1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دکتر توحیدلو ریاست محترم پژوهشکده علوم انسانی و اجتماعی کاربردی: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ایشان در ابتدا اشاره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 به رئوس فعالیت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 و شرح خلاصه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 از فعالیت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پژوهشکده علوم انسانی و اجتماعی کاربردی داشتند و در مورد ظرفیت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 و نحوة تعاملاتی که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شود با اعضاء هیئت علمی داشت نیز توضیحاتی ارائه نمودند. ایشان فرمودند پژوهشکده علوم انسانی و اجتماعی کاربردی با هدف ارتباط وسیع بین پژوهشگاه علوم انسانی و مجموعه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هایی که سیاستگذار و یا مجری در عرصة حاکمیتی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باشند تأسیس شد و از طرفی به دنبال ترویجی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سازی مباحث انسانی است و با توجه به اینکه مجموعة پژوهشگاه دارای مزیت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نسبی خوبی اعم از پژوهش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سالانه خوب و مفید و از طرف دیگر پژوهش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میان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رشته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 به دلیل حضور اساتید در رشته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مختلف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باشد، عاملی شد که بر آن شویم تا ارتباطات را گسترده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تر کنیم و کارهای پژوهشی را به سمت پژوهش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کاربردی در مجموعه پژوهشگاه چه در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موظف و چه در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های غیرموظف سوق دهیم. </w:t>
            </w:r>
          </w:p>
          <w:p w:rsidR="00E31C76" w:rsidRPr="00546AE1" w:rsidRDefault="00E31C76" w:rsidP="0002468E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مورد اینکه بین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موظف یا غیرموظف کاربردی، به چه گونه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 عمل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شود و روال آنها به چه صورتی است، باید گفت که ما در حال حاضر بیش از 80 تفاهم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نامه با مراکز مختلف داریم و حدود 20 تفاهم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نامة همکاری فعال که منجر به کارهای اجرایی شده است با مجموعه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های مختلف منعقد و به امضاء رسیده است و هر کدام از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lastRenderedPageBreak/>
              <w:t>تفاهم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نامه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هایی که به امضاء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رسد مبتنی بر آن تفاهم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نامه، الویت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پژوهشی و خواسته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 و مسائل مجموعه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 که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تواند کارفرمای کارهای پژوهشی باشد را از آنها دریافت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کنیم و آنها را به جهت همکاری بیشتر و حل مسئله خدمت اعضاء هیئت علمی ارسال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کنیم. به عنوان مثال در حال حاضر تعدادی پروژه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شهری در دست داریم همچنین صندوق حمایت از پژوهشگران از یک سری از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ما نیز حمایت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کنند و ما تعدادای از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مختلف همکاران را برای آنها ارسال کردیم و در مورد اینگونه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 داوری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خوبی صورت گرفته است و یک سری از همکاران نیز به صورت موظف مشترک کار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کنند یعنی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هایشان طرح موظفی است که در پژوهشگاه انجام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دهند ولی طرح کارفرمایی نیز محسوب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شود و این مدل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 جزو اولویت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پژوهشکده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باشد و تصور ما بر این است که با توجه به آیین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نامة ارتقاء و شرایطی که وجود دارد و اولویت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های کاربردی سعی بر این است که این مدل کارها بیشتر در پژوهشگاه ترویج پیدا کنند. </w:t>
            </w:r>
          </w:p>
          <w:p w:rsidR="00E31C76" w:rsidRPr="00546AE1" w:rsidRDefault="00E31C76" w:rsidP="0002468E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ایشان در ادامه افزودند، پژوهشکده از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توسعه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ای که بتوانند حل مسئله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کنند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جزء اولویت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 و نیازهای جامعه باشد به شدت استقبال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کند. از جمله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هایی که در رابطه با آنها مکاتباتی به عمل آمده است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هایی است که ما با مجموعة قوه قضائیه، وزارت امور خارجه و وزارت کار و مجموعه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هایی نظیر اینها انجام دادیم. اعضاء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توانند هم به صورت فردی و هم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های پژوهشی موظف و غیرموظف بصورت تیمی با اعضاء پژوهشکده اقدام به یک کار مشترک پژوهشی کارفرمایی نمایند. </w:t>
            </w:r>
          </w:p>
          <w:p w:rsidR="00E31C76" w:rsidRPr="00546AE1" w:rsidRDefault="00E31C76" w:rsidP="0002468E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ادامه در مورد شرایط کارهای کاربردی توضیحاتی ارائه فرمودند. پژوهشکده یک آئین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نامه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نیز در مورد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کارفرمایی در دست اجرا دارد و به محض اینکه به تصویب برسد به استحضار همکاران نیز خواهد رسید. دلایلی که پژوهشکده از اعضاء محترم هیئت علمی برای انجام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کارفرمایی دارند و از آنها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خواهند که در این زمینه عنایت بیشتری داشته باشند این است که اولاً طبق سیاست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پژوهشگاه و سیاستهایی که در وزارت علوم دنبال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شود الویت کارهای پژوهش با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کارفرمایی شده است و در واقع ما به دنبال کارهایی هستیم که جداً بتوانند حل مسئله بکنند. و دیگر از مزایای بحث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کاربردی این است که باعث رشد گرنت، همچنین از افتخارات پژوهشگاه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شود و برای خود فرد نیز مزایای مالی و معنوی و ارتقایی به همراه دارد. </w:t>
            </w:r>
          </w:p>
          <w:p w:rsidR="00E31C76" w:rsidRPr="00546AE1" w:rsidRDefault="00E31C76" w:rsidP="0002468E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مورد اینکه روال اینگونه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 به چه صورتی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باشد، باید گفت پژوهشکده در مورد اینکه طرح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پژوهشی اساتید را کاربردی کنند دو روال را مدنظر دارد. یکی از آنها این است که اولویت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پژوهشی از سازمانهای مختلفی که اولویت پژوهشی در حوزة علوم انسانی دارند در طول سال احصاء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شود و آنان بصورت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مختلف مثلاً موردی و یا نیمة اول و یا نیمة دوم سال برای اساتید محترم ارائه و ارسال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شود و از بین اولویت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پژوهشی اساتید اولویت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هایی که مدنظر دارند و ب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 علائق آنها و یا پیشینة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ذهنی در مورد کارها هماهنگی دار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،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آن را انتخاب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کرده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با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ارائه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موضوع و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طرح نامه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برای ما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سپری شدمن مراحل داوری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کار را شروع کنند. </w:t>
            </w:r>
          </w:p>
          <w:p w:rsidR="00E31C76" w:rsidRPr="00546AE1" w:rsidRDefault="00E31C76" w:rsidP="0002468E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lastRenderedPageBreak/>
              <w:t>مورد بعدی کارهایی است که خود اساتید پیشنهاد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دهند و موظف یا غیرموظف و یا پژوهش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هایی است که مورد علاقه خودشان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باشد و در صورتی که فکر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کنند برای سازمانها و ارگانهای مختلف کشور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تواند مؤثر باشند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توانند آنها را به ما ارائه دهند. در ادامه اعضاء محترم پرسش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هایی را مطرح نمودند و سرکار خانم دکتر توحیدلو و جناب آقای دکتر سراج، کارشناس محترم پژوهشکده به آنها پاسخ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دادند.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E31C76" w:rsidRPr="00546AE1" w:rsidTr="0002468E">
        <w:trPr>
          <w:trHeight w:val="143"/>
        </w:trPr>
        <w:tc>
          <w:tcPr>
            <w:tcW w:w="9576" w:type="dxa"/>
          </w:tcPr>
          <w:p w:rsidR="00E31C76" w:rsidRPr="00546AE1" w:rsidRDefault="00E31C76" w:rsidP="0002468E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 xml:space="preserve">در ادامه سرکار خانم دکتر نصیری، از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جناب آقای دکتر رفیعی، مدیر محترم دفتر نشر و ویرایش پژوهشگاه و رئیس شورای صنفی اعضاء محترم هیئت علمی دعوت نمودند تا ایشان در مورد برنامه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 شورای صنفی اعضاء محترم هیئت علمی توضیحاتی را ارائه نمایند. </w:t>
            </w:r>
          </w:p>
        </w:tc>
      </w:tr>
      <w:tr w:rsidR="00E31C76" w:rsidRPr="00546AE1" w:rsidTr="0002468E">
        <w:trPr>
          <w:trHeight w:val="143"/>
        </w:trPr>
        <w:tc>
          <w:tcPr>
            <w:tcW w:w="9576" w:type="dxa"/>
          </w:tcPr>
          <w:p w:rsidR="00E31C76" w:rsidRPr="00546AE1" w:rsidRDefault="00E31C76" w:rsidP="0002468E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spacing w:after="0" w:line="240" w:lineRule="auto"/>
              <w:ind w:left="821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546AE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سخنرانی </w:t>
            </w:r>
            <w:r w:rsidRPr="00546AE1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جناب آقای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46AE1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دکتر رفیعی، مدیر محترم دفتر نشر و ویرایش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46AE1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46AE1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رئیس شورای صنفی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46AE1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اعضاء محترم هیئت علمی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Pr="00546AE1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46AE1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پژوهشگاه: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ایشان در آغاز سخنرانی گزارشی از عملکردها و دستاوردهای شورای صنفی اعضاء ارائه نمودند و در مورد پیگیری مطالباتی که در مورد وام صندوق وجود دارد توضیحاتی را ارائه نمودند.</w:t>
            </w:r>
          </w:p>
          <w:p w:rsidR="00E31C76" w:rsidRPr="00546AE1" w:rsidRDefault="00E31C76" w:rsidP="0002468E">
            <w:p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ایشان موضوع بعدی را شرکت نمایندگان اعضاء در شورای هماهنگی تشکل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صنفی اعضاء هیئت علمی سراسر کشور مطرح نمودند و فرمودند که آخرین نشست آن در تبریز برگزار شد که  جناب آقای دکتر دالوند به عنوان نمایندة شورای صنفی پژوهشکده علوم انسانی تشریف بردند و گزارشی را ارائه نمودند و در آن بخش هم موضوعات زیادی پیگیری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شوند و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یکی از موضوعاتی که مورد تأکید ا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ست بحث یکسان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سازی ح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قوق اعضاء هیئت علمی وزارت علوم با وزارت بهداشت ا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ست که با بررسی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 و پیگیری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فراوان در حال اجرا و اعمال این خواسته هستیم. موضوع بعدی بحث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اصلاح آیین نامه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گرنت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بود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که اعضاء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شورای صنفی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مورد آن پیش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نویسی تهیه کردند و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بعد از سپری شدن مراحل مختلف،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به تصویب رسید. </w:t>
            </w:r>
          </w:p>
          <w:p w:rsidR="00E31C76" w:rsidRPr="00546AE1" w:rsidRDefault="00E31C76" w:rsidP="0002468E">
            <w:p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موضوع دیگر در مورد تشویق مقالات بود که با توجه به آیین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نامه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 که در وزارت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خانه می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باشد پیش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نویسی ارائه دادیم که منجر به یک آیین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نامة داخلی شد و ان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شاالله زمانی که به تصویب برسد به استحضار همکاران خواهد رسید. </w:t>
            </w:r>
          </w:p>
          <w:p w:rsidR="00E31C76" w:rsidRPr="00546AE1" w:rsidRDefault="00E31C76" w:rsidP="0002468E">
            <w:p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موضوع دیگر در مورد درخواست شفاف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سازی امتیازات اعضاء هیئت علمی و اطلاع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رسانی در مورد ارتقاء،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ترفیع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،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تبدیل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وضعیت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هریک از اعضا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می باشد که در این باره مکاتباتی صورت گرفته است و قرار است که به نتایج مثبتی در این زمینه دست یابیم. </w:t>
            </w:r>
          </w:p>
          <w:p w:rsidR="00E31C76" w:rsidRPr="00546AE1" w:rsidRDefault="00E31C76" w:rsidP="0002468E">
            <w:p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بحث بعدی درخواست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تعدادی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از اعضاء محترم هیئت علمی مبنی بر حضور یکی از اعضای هیات علمی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در شورای انتشارات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بود؛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که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جناب آقای دکتر احمدزاده با رای اعضای شورای صنفی به نمایندگی از اعضای هیات علمی در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شورای انتشارات حضور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خواهند داشت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. </w:t>
            </w:r>
          </w:p>
          <w:p w:rsidR="00E31C76" w:rsidRPr="00546AE1" w:rsidRDefault="00E31C76" w:rsidP="0002468E">
            <w:p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lastRenderedPageBreak/>
              <w:t>بحث بعدی در مورد اصلاح پیش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نویس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آیین</w:t>
            </w:r>
            <w:r w:rsidRPr="00546AE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نامة تشویق مقالات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بر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 اعضایی بودکه مقالات بیشتری دارند،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که انشاالله مورد موافقت قرار گیرد. </w:t>
            </w:r>
          </w:p>
        </w:tc>
      </w:tr>
    </w:tbl>
    <w:p w:rsidR="00E31C76" w:rsidRPr="00412154" w:rsidRDefault="00E31C76" w:rsidP="00E31C76">
      <w:pPr>
        <w:bidi/>
        <w:rPr>
          <w:rFonts w:cs="B Zar"/>
          <w:sz w:val="28"/>
          <w:szCs w:val="28"/>
        </w:rPr>
      </w:pPr>
    </w:p>
    <w:p w:rsidR="00E31C76" w:rsidRPr="00412154" w:rsidRDefault="00E31C76" w:rsidP="00E31C76">
      <w:pPr>
        <w:bidi/>
        <w:rPr>
          <w:rFonts w:cs="B Zar"/>
          <w:sz w:val="28"/>
          <w:szCs w:val="28"/>
          <w:lang w:bidi="fa-IR"/>
        </w:rPr>
      </w:pPr>
    </w:p>
    <w:p w:rsidR="00E31C76" w:rsidRPr="00412154" w:rsidRDefault="00E31C76" w:rsidP="00E31C76">
      <w:pPr>
        <w:bidi/>
        <w:rPr>
          <w:rFonts w:cs="B Zar"/>
          <w:sz w:val="28"/>
          <w:szCs w:val="28"/>
        </w:rPr>
      </w:pPr>
    </w:p>
    <w:p w:rsidR="00D239C5" w:rsidRDefault="00D239C5" w:rsidP="00E31C76">
      <w:pPr>
        <w:bidi/>
      </w:pPr>
    </w:p>
    <w:sectPr w:rsidR="00D239C5" w:rsidSect="00F17668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C0" w:rsidRDefault="000F6BD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3226C0" w:rsidRDefault="000F6B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64586"/>
    <w:multiLevelType w:val="hybridMultilevel"/>
    <w:tmpl w:val="AF2E025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1C76"/>
    <w:rsid w:val="000F6BDD"/>
    <w:rsid w:val="00D239C5"/>
    <w:rsid w:val="00E3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7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C76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M.Zamaniha</dc:creator>
  <cp:keywords/>
  <dc:description/>
  <cp:lastModifiedBy>M.Zamaniha</cp:lastModifiedBy>
  <cp:revision>1</cp:revision>
  <dcterms:created xsi:type="dcterms:W3CDTF">2018-12-19T05:20:00Z</dcterms:created>
  <dcterms:modified xsi:type="dcterms:W3CDTF">2018-12-19T05:53:00Z</dcterms:modified>
</cp:coreProperties>
</file>