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C9" w:rsidRPr="0081715B" w:rsidRDefault="001052C9" w:rsidP="001052C9">
      <w:pPr>
        <w:rPr>
          <w:sz w:val="24"/>
          <w:szCs w:val="24"/>
        </w:rPr>
      </w:pPr>
      <w:r>
        <w:rPr>
          <w:sz w:val="24"/>
          <w:szCs w:val="24"/>
        </w:rPr>
        <w:t>39</w:t>
      </w:r>
      <w:r>
        <w:rPr>
          <w:sz w:val="24"/>
          <w:szCs w:val="24"/>
        </w:rPr>
        <w:tab/>
      </w:r>
      <w:r>
        <w:rPr>
          <w:sz w:val="24"/>
          <w:szCs w:val="24"/>
        </w:rPr>
        <w:tab/>
      </w:r>
    </w:p>
    <w:tbl>
      <w:tblPr>
        <w:tblStyle w:val="ColorfulList"/>
        <w:tblW w:w="11074" w:type="dxa"/>
        <w:tblLook w:val="04A0"/>
      </w:tblPr>
      <w:tblGrid>
        <w:gridCol w:w="1602"/>
        <w:gridCol w:w="1116"/>
        <w:gridCol w:w="4680"/>
        <w:gridCol w:w="1307"/>
        <w:gridCol w:w="2369"/>
      </w:tblGrid>
      <w:tr w:rsidR="001052C9" w:rsidRPr="0081715B" w:rsidTr="007D40A4">
        <w:trPr>
          <w:cnfStyle w:val="100000000000"/>
          <w:trHeight w:val="900"/>
        </w:trPr>
        <w:tc>
          <w:tcPr>
            <w:cnfStyle w:val="001000000000"/>
            <w:tcW w:w="11074" w:type="dxa"/>
            <w:gridSpan w:val="5"/>
          </w:tcPr>
          <w:p w:rsidR="001052C9" w:rsidRPr="0081715B" w:rsidRDefault="001052C9" w:rsidP="007D40A4">
            <w:pPr>
              <w:jc w:val="center"/>
              <w:rPr>
                <w:rFonts w:eastAsia="Calibri" w:cs="Arial"/>
                <w:b w:val="0"/>
                <w:bCs w:val="0"/>
                <w:color w:val="FFFFFF"/>
                <w:sz w:val="24"/>
                <w:szCs w:val="24"/>
              </w:rPr>
            </w:pPr>
            <w:r w:rsidRPr="0081715B">
              <w:rPr>
                <w:rFonts w:eastAsia="Calibri" w:cs="Arial"/>
                <w:b w:val="0"/>
                <w:bCs w:val="0"/>
                <w:color w:val="FFFFFF"/>
                <w:sz w:val="24"/>
                <w:szCs w:val="24"/>
              </w:rPr>
              <w:t>Asian Cultural Documentation Center</w:t>
            </w:r>
          </w:p>
          <w:p w:rsidR="001052C9" w:rsidRPr="0081715B" w:rsidRDefault="001052C9" w:rsidP="007D40A4">
            <w:pPr>
              <w:jc w:val="center"/>
              <w:rPr>
                <w:sz w:val="24"/>
                <w:szCs w:val="24"/>
              </w:rPr>
            </w:pPr>
            <w:r w:rsidRPr="0081715B">
              <w:rPr>
                <w:rFonts w:eastAsia="Calibri" w:cs="Arial"/>
                <w:b w:val="0"/>
                <w:bCs w:val="0"/>
                <w:color w:val="FFFFFF"/>
                <w:sz w:val="24"/>
                <w:szCs w:val="24"/>
              </w:rPr>
              <w:t>(Centers and Academies)</w:t>
            </w:r>
          </w:p>
        </w:tc>
      </w:tr>
      <w:tr w:rsidR="001052C9" w:rsidRPr="0081715B" w:rsidTr="007D40A4">
        <w:trPr>
          <w:cnfStyle w:val="000000100000"/>
          <w:trHeight w:val="294"/>
        </w:trPr>
        <w:tc>
          <w:tcPr>
            <w:cnfStyle w:val="001000000000"/>
            <w:tcW w:w="7398" w:type="dxa"/>
            <w:gridSpan w:val="3"/>
          </w:tcPr>
          <w:p w:rsidR="001052C9" w:rsidRPr="0081715B" w:rsidRDefault="001052C9" w:rsidP="007D40A4">
            <w:pPr>
              <w:rPr>
                <w:sz w:val="24"/>
                <w:szCs w:val="24"/>
              </w:rPr>
            </w:pPr>
          </w:p>
        </w:tc>
        <w:tc>
          <w:tcPr>
            <w:tcW w:w="1307" w:type="dxa"/>
          </w:tcPr>
          <w:p w:rsidR="001052C9" w:rsidRPr="0081715B" w:rsidRDefault="001052C9" w:rsidP="007D40A4">
            <w:pPr>
              <w:cnfStyle w:val="000000100000"/>
              <w:rPr>
                <w:sz w:val="24"/>
                <w:szCs w:val="24"/>
              </w:rPr>
            </w:pPr>
            <w:r w:rsidRPr="0081715B">
              <w:rPr>
                <w:rFonts w:eastAsia="Calibri" w:cs="Arial"/>
                <w:color w:val="000000"/>
                <w:sz w:val="24"/>
                <w:szCs w:val="24"/>
              </w:rPr>
              <w:t>Logo</w:t>
            </w:r>
          </w:p>
        </w:tc>
        <w:tc>
          <w:tcPr>
            <w:tcW w:w="2369" w:type="dxa"/>
            <w:vMerge w:val="restart"/>
          </w:tcPr>
          <w:p w:rsidR="001052C9" w:rsidRPr="0081715B" w:rsidRDefault="001052C9" w:rsidP="007D40A4">
            <w:pPr>
              <w:cnfStyle w:val="000000100000"/>
              <w:rPr>
                <w:sz w:val="24"/>
                <w:szCs w:val="24"/>
              </w:rPr>
            </w:pPr>
          </w:p>
        </w:tc>
      </w:tr>
      <w:tr w:rsidR="001052C9" w:rsidRPr="0081715B" w:rsidTr="007D40A4">
        <w:trPr>
          <w:trHeight w:val="597"/>
        </w:trPr>
        <w:tc>
          <w:tcPr>
            <w:cnfStyle w:val="001000000000"/>
            <w:tcW w:w="8705" w:type="dxa"/>
            <w:gridSpan w:val="4"/>
          </w:tcPr>
          <w:p w:rsidR="001052C9" w:rsidRPr="0081715B" w:rsidRDefault="001052C9" w:rsidP="007D40A4">
            <w:pPr>
              <w:rPr>
                <w:sz w:val="24"/>
                <w:szCs w:val="24"/>
              </w:rPr>
            </w:pPr>
          </w:p>
        </w:tc>
        <w:tc>
          <w:tcPr>
            <w:tcW w:w="2369" w:type="dxa"/>
            <w:vMerge/>
          </w:tcPr>
          <w:p w:rsidR="001052C9" w:rsidRPr="0081715B" w:rsidRDefault="001052C9" w:rsidP="007D40A4">
            <w:pPr>
              <w:cnfStyle w:val="000000000000"/>
              <w:rPr>
                <w:sz w:val="24"/>
                <w:szCs w:val="24"/>
              </w:rPr>
            </w:pPr>
          </w:p>
        </w:tc>
      </w:tr>
      <w:tr w:rsidR="001052C9" w:rsidRPr="0081715B" w:rsidTr="007D40A4">
        <w:trPr>
          <w:cnfStyle w:val="000000100000"/>
          <w:trHeight w:val="294"/>
        </w:trPr>
        <w:tc>
          <w:tcPr>
            <w:cnfStyle w:val="001000000000"/>
            <w:tcW w:w="2718" w:type="dxa"/>
            <w:gridSpan w:val="2"/>
          </w:tcPr>
          <w:p w:rsidR="001052C9" w:rsidRPr="0081715B" w:rsidRDefault="001052C9" w:rsidP="007D40A4">
            <w:pPr>
              <w:rPr>
                <w:sz w:val="24"/>
                <w:szCs w:val="24"/>
              </w:rPr>
            </w:pPr>
            <w:r w:rsidRPr="0081715B">
              <w:rPr>
                <w:sz w:val="24"/>
                <w:szCs w:val="24"/>
              </w:rPr>
              <w:t>Name</w:t>
            </w:r>
          </w:p>
        </w:tc>
        <w:tc>
          <w:tcPr>
            <w:tcW w:w="5987" w:type="dxa"/>
            <w:gridSpan w:val="2"/>
          </w:tcPr>
          <w:p w:rsidR="001052C9" w:rsidRPr="0081715B" w:rsidRDefault="007D40A4" w:rsidP="007D40A4">
            <w:pPr>
              <w:cnfStyle w:val="000000100000"/>
              <w:rPr>
                <w:sz w:val="24"/>
                <w:szCs w:val="24"/>
              </w:rPr>
            </w:pPr>
            <w:proofErr w:type="spellStart"/>
            <w:r w:rsidRPr="007D40A4">
              <w:rPr>
                <w:sz w:val="24"/>
                <w:szCs w:val="24"/>
              </w:rPr>
              <w:t>Behram-begova</w:t>
            </w:r>
            <w:proofErr w:type="spellEnd"/>
            <w:r w:rsidRPr="007D40A4">
              <w:rPr>
                <w:sz w:val="24"/>
                <w:szCs w:val="24"/>
              </w:rPr>
              <w:t xml:space="preserve"> </w:t>
            </w:r>
            <w:proofErr w:type="spellStart"/>
            <w:r w:rsidRPr="007D40A4">
              <w:rPr>
                <w:sz w:val="24"/>
                <w:szCs w:val="24"/>
              </w:rPr>
              <w:t>medresa</w:t>
            </w:r>
            <w:proofErr w:type="spellEnd"/>
            <w:r w:rsidRPr="007D40A4">
              <w:rPr>
                <w:sz w:val="24"/>
                <w:szCs w:val="24"/>
              </w:rPr>
              <w:t xml:space="preserve"> in Tuzla</w:t>
            </w:r>
          </w:p>
        </w:tc>
        <w:tc>
          <w:tcPr>
            <w:tcW w:w="2369" w:type="dxa"/>
            <w:vMerge/>
          </w:tcPr>
          <w:p w:rsidR="001052C9" w:rsidRPr="0081715B" w:rsidRDefault="001052C9" w:rsidP="007D40A4">
            <w:pPr>
              <w:cnfStyle w:val="000000100000"/>
              <w:rPr>
                <w:sz w:val="24"/>
                <w:szCs w:val="24"/>
              </w:rPr>
            </w:pPr>
          </w:p>
        </w:tc>
      </w:tr>
      <w:tr w:rsidR="001052C9" w:rsidRPr="0081715B" w:rsidTr="007D40A4">
        <w:trPr>
          <w:trHeight w:val="294"/>
        </w:trPr>
        <w:tc>
          <w:tcPr>
            <w:cnfStyle w:val="001000000000"/>
            <w:tcW w:w="2718" w:type="dxa"/>
            <w:gridSpan w:val="2"/>
          </w:tcPr>
          <w:p w:rsidR="001052C9" w:rsidRPr="0081715B" w:rsidRDefault="001052C9" w:rsidP="007D40A4">
            <w:pPr>
              <w:rPr>
                <w:sz w:val="24"/>
                <w:szCs w:val="24"/>
              </w:rPr>
            </w:pPr>
            <w:r w:rsidRPr="0081715B">
              <w:rPr>
                <w:rFonts w:eastAsia="Calibri" w:cs="Arial"/>
                <w:color w:val="000000"/>
                <w:sz w:val="24"/>
                <w:szCs w:val="24"/>
              </w:rPr>
              <w:t>Head</w:t>
            </w:r>
          </w:p>
        </w:tc>
        <w:tc>
          <w:tcPr>
            <w:tcW w:w="5987" w:type="dxa"/>
            <w:gridSpan w:val="2"/>
          </w:tcPr>
          <w:p w:rsidR="001052C9" w:rsidRPr="0081715B" w:rsidRDefault="007D40A4" w:rsidP="007D40A4">
            <w:pPr>
              <w:cnfStyle w:val="000000000000"/>
              <w:rPr>
                <w:sz w:val="24"/>
                <w:szCs w:val="24"/>
              </w:rPr>
            </w:pPr>
            <w:r>
              <w:rPr>
                <w:sz w:val="24"/>
                <w:szCs w:val="24"/>
              </w:rPr>
              <w:t>-------------------</w:t>
            </w:r>
          </w:p>
        </w:tc>
        <w:tc>
          <w:tcPr>
            <w:tcW w:w="2369" w:type="dxa"/>
            <w:vMerge/>
          </w:tcPr>
          <w:p w:rsidR="001052C9" w:rsidRPr="0081715B" w:rsidRDefault="001052C9" w:rsidP="007D40A4">
            <w:pPr>
              <w:cnfStyle w:val="000000000000"/>
              <w:rPr>
                <w:sz w:val="24"/>
                <w:szCs w:val="24"/>
              </w:rPr>
            </w:pPr>
          </w:p>
        </w:tc>
      </w:tr>
      <w:tr w:rsidR="001052C9" w:rsidRPr="0081715B" w:rsidTr="007D40A4">
        <w:trPr>
          <w:cnfStyle w:val="000000100000"/>
          <w:trHeight w:val="294"/>
        </w:trPr>
        <w:tc>
          <w:tcPr>
            <w:cnfStyle w:val="001000000000"/>
            <w:tcW w:w="2718" w:type="dxa"/>
            <w:gridSpan w:val="2"/>
          </w:tcPr>
          <w:p w:rsidR="001052C9" w:rsidRPr="0081715B" w:rsidRDefault="001052C9" w:rsidP="007D40A4">
            <w:pPr>
              <w:rPr>
                <w:sz w:val="24"/>
                <w:szCs w:val="24"/>
              </w:rPr>
            </w:pPr>
            <w:r w:rsidRPr="0081715B">
              <w:rPr>
                <w:rFonts w:eastAsia="Calibri" w:cs="Arial"/>
                <w:color w:val="000000"/>
                <w:sz w:val="24"/>
                <w:szCs w:val="24"/>
              </w:rPr>
              <w:t>Type</w:t>
            </w:r>
          </w:p>
        </w:tc>
        <w:tc>
          <w:tcPr>
            <w:tcW w:w="5987" w:type="dxa"/>
            <w:gridSpan w:val="2"/>
          </w:tcPr>
          <w:p w:rsidR="001052C9" w:rsidRPr="0081715B" w:rsidRDefault="007D40A4" w:rsidP="007D40A4">
            <w:pPr>
              <w:cnfStyle w:val="000000100000"/>
              <w:rPr>
                <w:sz w:val="24"/>
                <w:szCs w:val="24"/>
              </w:rPr>
            </w:pPr>
            <w:r>
              <w:rPr>
                <w:sz w:val="24"/>
                <w:szCs w:val="24"/>
              </w:rPr>
              <w:t>Non-Governmental</w:t>
            </w:r>
          </w:p>
        </w:tc>
        <w:tc>
          <w:tcPr>
            <w:tcW w:w="2369" w:type="dxa"/>
            <w:vMerge/>
          </w:tcPr>
          <w:p w:rsidR="001052C9" w:rsidRPr="0081715B" w:rsidRDefault="001052C9" w:rsidP="007D40A4">
            <w:pPr>
              <w:cnfStyle w:val="000000100000"/>
              <w:rPr>
                <w:sz w:val="24"/>
                <w:szCs w:val="24"/>
              </w:rPr>
            </w:pPr>
          </w:p>
        </w:tc>
      </w:tr>
      <w:tr w:rsidR="001052C9" w:rsidRPr="0081715B" w:rsidTr="007D40A4">
        <w:trPr>
          <w:trHeight w:val="294"/>
        </w:trPr>
        <w:tc>
          <w:tcPr>
            <w:cnfStyle w:val="001000000000"/>
            <w:tcW w:w="2718" w:type="dxa"/>
            <w:gridSpan w:val="2"/>
          </w:tcPr>
          <w:p w:rsidR="001052C9" w:rsidRPr="0081715B" w:rsidRDefault="001052C9" w:rsidP="007D40A4">
            <w:pPr>
              <w:rPr>
                <w:sz w:val="24"/>
                <w:szCs w:val="24"/>
              </w:rPr>
            </w:pPr>
            <w:r w:rsidRPr="0081715B">
              <w:rPr>
                <w:rFonts w:eastAsia="Calibri" w:cs="Arial"/>
                <w:color w:val="000000"/>
                <w:sz w:val="24"/>
                <w:szCs w:val="24"/>
              </w:rPr>
              <w:t>Year of Establishment</w:t>
            </w:r>
          </w:p>
        </w:tc>
        <w:tc>
          <w:tcPr>
            <w:tcW w:w="5987" w:type="dxa"/>
            <w:gridSpan w:val="2"/>
          </w:tcPr>
          <w:p w:rsidR="001052C9" w:rsidRPr="0081715B" w:rsidRDefault="007D40A4" w:rsidP="007D40A4">
            <w:pPr>
              <w:cnfStyle w:val="000000000000"/>
              <w:rPr>
                <w:sz w:val="24"/>
                <w:szCs w:val="24"/>
              </w:rPr>
            </w:pPr>
            <w:r w:rsidRPr="007D40A4">
              <w:rPr>
                <w:sz w:val="24"/>
                <w:szCs w:val="24"/>
              </w:rPr>
              <w:t>1626</w:t>
            </w:r>
          </w:p>
        </w:tc>
        <w:tc>
          <w:tcPr>
            <w:tcW w:w="2369" w:type="dxa"/>
            <w:vMerge/>
          </w:tcPr>
          <w:p w:rsidR="001052C9" w:rsidRPr="0081715B" w:rsidRDefault="001052C9" w:rsidP="007D40A4">
            <w:pPr>
              <w:cnfStyle w:val="000000000000"/>
              <w:rPr>
                <w:sz w:val="24"/>
                <w:szCs w:val="24"/>
              </w:rPr>
            </w:pPr>
          </w:p>
        </w:tc>
      </w:tr>
      <w:tr w:rsidR="001052C9" w:rsidRPr="0081715B" w:rsidTr="007D40A4">
        <w:trPr>
          <w:cnfStyle w:val="000000100000"/>
          <w:trHeight w:val="294"/>
        </w:trPr>
        <w:tc>
          <w:tcPr>
            <w:cnfStyle w:val="001000000000"/>
            <w:tcW w:w="11074" w:type="dxa"/>
            <w:gridSpan w:val="5"/>
          </w:tcPr>
          <w:p w:rsidR="001052C9" w:rsidRPr="0081715B" w:rsidRDefault="001052C9" w:rsidP="007D40A4">
            <w:pPr>
              <w:rPr>
                <w:sz w:val="24"/>
                <w:szCs w:val="24"/>
              </w:rPr>
            </w:pPr>
          </w:p>
        </w:tc>
      </w:tr>
      <w:tr w:rsidR="001052C9" w:rsidRPr="0081715B" w:rsidTr="007D40A4">
        <w:trPr>
          <w:trHeight w:val="597"/>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Publications</w:t>
            </w:r>
          </w:p>
        </w:tc>
        <w:tc>
          <w:tcPr>
            <w:tcW w:w="9472" w:type="dxa"/>
            <w:gridSpan w:val="4"/>
          </w:tcPr>
          <w:p w:rsidR="001052C9" w:rsidRPr="0081715B" w:rsidRDefault="007D40A4" w:rsidP="007D40A4">
            <w:pPr>
              <w:cnfStyle w:val="000000000000"/>
              <w:rPr>
                <w:sz w:val="24"/>
                <w:szCs w:val="24"/>
              </w:rPr>
            </w:pPr>
            <w:r>
              <w:rPr>
                <w:sz w:val="24"/>
                <w:szCs w:val="24"/>
              </w:rPr>
              <w:t>-----------------------</w:t>
            </w:r>
          </w:p>
        </w:tc>
      </w:tr>
      <w:tr w:rsidR="001052C9" w:rsidRPr="0081715B" w:rsidTr="007D40A4">
        <w:trPr>
          <w:cnfStyle w:val="000000100000"/>
          <w:trHeight w:val="597"/>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Activities</w:t>
            </w:r>
          </w:p>
        </w:tc>
        <w:tc>
          <w:tcPr>
            <w:tcW w:w="9472" w:type="dxa"/>
            <w:gridSpan w:val="4"/>
          </w:tcPr>
          <w:p w:rsidR="001052C9" w:rsidRPr="007D40A4" w:rsidRDefault="007D40A4" w:rsidP="007D40A4">
            <w:pPr>
              <w:cnfStyle w:val="000000100000"/>
              <w:rPr>
                <w:color w:val="000000"/>
                <w:sz w:val="24"/>
                <w:szCs w:val="24"/>
                <w:rtl/>
                <w:lang w:bidi="fa-IR"/>
              </w:rPr>
            </w:pPr>
            <w:r w:rsidRPr="007D40A4">
              <w:rPr>
                <w:color w:val="000000"/>
                <w:sz w:val="24"/>
                <w:szCs w:val="24"/>
                <w:lang w:bidi="fa-IR"/>
              </w:rPr>
              <w:t xml:space="preserve">In </w:t>
            </w:r>
            <w:proofErr w:type="spellStart"/>
            <w:r w:rsidRPr="007D40A4">
              <w:rPr>
                <w:color w:val="000000"/>
                <w:sz w:val="24"/>
                <w:szCs w:val="24"/>
                <w:lang w:bidi="fa-IR"/>
              </w:rPr>
              <w:t>Behram-begova</w:t>
            </w:r>
            <w:proofErr w:type="spellEnd"/>
            <w:r w:rsidRPr="007D40A4">
              <w:rPr>
                <w:color w:val="000000"/>
                <w:sz w:val="24"/>
                <w:szCs w:val="24"/>
                <w:lang w:bidi="fa-IR"/>
              </w:rPr>
              <w:t xml:space="preserve"> </w:t>
            </w:r>
            <w:proofErr w:type="spellStart"/>
            <w:r w:rsidRPr="007D40A4">
              <w:rPr>
                <w:color w:val="000000"/>
                <w:sz w:val="24"/>
                <w:szCs w:val="24"/>
                <w:lang w:bidi="fa-IR"/>
              </w:rPr>
              <w:t>medresa</w:t>
            </w:r>
            <w:proofErr w:type="spellEnd"/>
            <w:r w:rsidRPr="007D40A4">
              <w:rPr>
                <w:color w:val="000000"/>
                <w:sz w:val="24"/>
                <w:szCs w:val="24"/>
                <w:lang w:bidi="fa-IR"/>
              </w:rPr>
              <w:t xml:space="preserve"> special attention is paid to Islamic upbringing and education of the students. </w:t>
            </w:r>
            <w:r w:rsidRPr="007D40A4">
              <w:rPr>
                <w:color w:val="000000"/>
                <w:sz w:val="24"/>
                <w:szCs w:val="24"/>
                <w:lang w:bidi="fa-IR"/>
              </w:rPr>
              <w:br/>
              <w:t xml:space="preserve">During their </w:t>
            </w:r>
            <w:proofErr w:type="spellStart"/>
            <w:r w:rsidRPr="007D40A4">
              <w:rPr>
                <w:color w:val="000000"/>
                <w:sz w:val="24"/>
                <w:szCs w:val="24"/>
                <w:lang w:bidi="fa-IR"/>
              </w:rPr>
              <w:t>educaton</w:t>
            </w:r>
            <w:proofErr w:type="spellEnd"/>
            <w:r w:rsidRPr="007D40A4">
              <w:rPr>
                <w:color w:val="000000"/>
                <w:sz w:val="24"/>
                <w:szCs w:val="24"/>
                <w:lang w:bidi="fa-IR"/>
              </w:rPr>
              <w:t xml:space="preserve"> in </w:t>
            </w:r>
            <w:proofErr w:type="spellStart"/>
            <w:r w:rsidRPr="007D40A4">
              <w:rPr>
                <w:color w:val="000000"/>
                <w:sz w:val="24"/>
                <w:szCs w:val="24"/>
                <w:lang w:bidi="fa-IR"/>
              </w:rPr>
              <w:t>Medresa</w:t>
            </w:r>
            <w:proofErr w:type="spellEnd"/>
            <w:r w:rsidRPr="007D40A4">
              <w:rPr>
                <w:color w:val="000000"/>
                <w:sz w:val="24"/>
                <w:szCs w:val="24"/>
                <w:lang w:bidi="fa-IR"/>
              </w:rPr>
              <w:t xml:space="preserve"> students study Islamic sciences and disciplines, and daily schedule is harmonized with the time for performing basic Islamic duties and obligations of students and teachers. </w:t>
            </w:r>
            <w:proofErr w:type="gramStart"/>
            <w:r w:rsidRPr="007D40A4">
              <w:rPr>
                <w:color w:val="000000"/>
                <w:sz w:val="24"/>
                <w:szCs w:val="24"/>
                <w:lang w:bidi="fa-IR"/>
              </w:rPr>
              <w:t>the</w:t>
            </w:r>
            <w:proofErr w:type="gramEnd"/>
            <w:r w:rsidRPr="007D40A4">
              <w:rPr>
                <w:color w:val="000000"/>
                <w:sz w:val="24"/>
                <w:szCs w:val="24"/>
                <w:lang w:bidi="fa-IR"/>
              </w:rPr>
              <w:t xml:space="preserve"> essence of upbringing system in this Islamic school are the principles of Islamic teachings. </w:t>
            </w:r>
            <w:r w:rsidRPr="007D40A4">
              <w:rPr>
                <w:color w:val="000000"/>
                <w:sz w:val="24"/>
                <w:szCs w:val="24"/>
                <w:lang w:bidi="fa-IR"/>
              </w:rPr>
              <w:br/>
              <w:t xml:space="preserve">In this school significant efforts have been made to ensure that the message of our </w:t>
            </w:r>
            <w:proofErr w:type="spellStart"/>
            <w:r w:rsidRPr="007D40A4">
              <w:rPr>
                <w:color w:val="000000"/>
                <w:sz w:val="24"/>
                <w:szCs w:val="24"/>
                <w:lang w:bidi="fa-IR"/>
              </w:rPr>
              <w:t>Rasululah</w:t>
            </w:r>
            <w:proofErr w:type="spellEnd"/>
            <w:r w:rsidRPr="007D40A4">
              <w:rPr>
                <w:color w:val="000000"/>
                <w:sz w:val="24"/>
                <w:szCs w:val="24"/>
                <w:lang w:bidi="fa-IR"/>
              </w:rPr>
              <w:t xml:space="preserve"> Muhammad (</w:t>
            </w:r>
            <w:proofErr w:type="spellStart"/>
            <w:r w:rsidRPr="007D40A4">
              <w:rPr>
                <w:color w:val="000000"/>
                <w:sz w:val="24"/>
                <w:szCs w:val="24"/>
                <w:lang w:bidi="fa-IR"/>
              </w:rPr>
              <w:t>p.b.u.h</w:t>
            </w:r>
            <w:proofErr w:type="spellEnd"/>
            <w:r w:rsidRPr="007D40A4">
              <w:rPr>
                <w:color w:val="000000"/>
                <w:sz w:val="24"/>
                <w:szCs w:val="24"/>
                <w:lang w:bidi="fa-IR"/>
              </w:rPr>
              <w:t xml:space="preserve">) according to which he was sent by God Almighty to improve moral, finds its practical application here. Thanks to the fact that all students live in the school’s hostel, they have a chance to practice their knowledge of the religion and its disciplines in their everyday life. </w:t>
            </w:r>
            <w:r w:rsidRPr="007D40A4">
              <w:rPr>
                <w:color w:val="000000"/>
                <w:sz w:val="24"/>
                <w:szCs w:val="24"/>
                <w:lang w:bidi="fa-IR"/>
              </w:rPr>
              <w:br/>
              <w:t xml:space="preserve">Student of this Islamic school studied 28 subject thought 4 year spent there, and that enables them to get a solid Islamic and general education. Students, beside regular classes, have to attend optional classes. Each student chooses two optional subjects to study. It enables them to study and cover those lessons which will make it easier to them to join faculty. </w:t>
            </w:r>
            <w:r w:rsidRPr="007D40A4">
              <w:rPr>
                <w:color w:val="000000"/>
                <w:sz w:val="24"/>
                <w:szCs w:val="24"/>
                <w:lang w:bidi="fa-IR"/>
              </w:rPr>
              <w:br/>
            </w:r>
            <w:proofErr w:type="spellStart"/>
            <w:r w:rsidRPr="007D40A4">
              <w:rPr>
                <w:color w:val="000000"/>
                <w:sz w:val="24"/>
                <w:szCs w:val="24"/>
                <w:lang w:bidi="fa-IR"/>
              </w:rPr>
              <w:t>Medresa’s</w:t>
            </w:r>
            <w:proofErr w:type="spellEnd"/>
            <w:r w:rsidRPr="007D40A4">
              <w:rPr>
                <w:color w:val="000000"/>
                <w:sz w:val="24"/>
                <w:szCs w:val="24"/>
                <w:lang w:bidi="fa-IR"/>
              </w:rPr>
              <w:t xml:space="preserve"> </w:t>
            </w:r>
            <w:proofErr w:type="spellStart"/>
            <w:r w:rsidRPr="007D40A4">
              <w:rPr>
                <w:color w:val="000000"/>
                <w:sz w:val="24"/>
                <w:szCs w:val="24"/>
                <w:lang w:bidi="fa-IR"/>
              </w:rPr>
              <w:t>gradutes</w:t>
            </w:r>
            <w:proofErr w:type="spellEnd"/>
            <w:r w:rsidRPr="007D40A4">
              <w:rPr>
                <w:color w:val="000000"/>
                <w:sz w:val="24"/>
                <w:szCs w:val="24"/>
                <w:lang w:bidi="fa-IR"/>
              </w:rPr>
              <w:t xml:space="preserve"> can join all universities in </w:t>
            </w:r>
            <w:proofErr w:type="spellStart"/>
            <w:r w:rsidRPr="007D40A4">
              <w:rPr>
                <w:color w:val="000000"/>
                <w:sz w:val="24"/>
                <w:szCs w:val="24"/>
                <w:lang w:bidi="fa-IR"/>
              </w:rPr>
              <w:t>Bosni</w:t>
            </w:r>
            <w:proofErr w:type="spellEnd"/>
            <w:r w:rsidRPr="007D40A4">
              <w:rPr>
                <w:color w:val="000000"/>
                <w:sz w:val="24"/>
                <w:szCs w:val="24"/>
                <w:lang w:bidi="fa-IR"/>
              </w:rPr>
              <w:t xml:space="preserve"> and Herzegovina and abroad. The fact that they study a lot of subjects in </w:t>
            </w:r>
            <w:proofErr w:type="spellStart"/>
            <w:r w:rsidRPr="007D40A4">
              <w:rPr>
                <w:color w:val="000000"/>
                <w:sz w:val="24"/>
                <w:szCs w:val="24"/>
                <w:lang w:bidi="fa-IR"/>
              </w:rPr>
              <w:t>Medresa</w:t>
            </w:r>
            <w:proofErr w:type="spellEnd"/>
            <w:r w:rsidRPr="007D40A4">
              <w:rPr>
                <w:color w:val="000000"/>
                <w:sz w:val="24"/>
                <w:szCs w:val="24"/>
                <w:lang w:bidi="fa-IR"/>
              </w:rPr>
              <w:t xml:space="preserve"> enables them to do it. </w:t>
            </w:r>
            <w:r w:rsidRPr="007D40A4">
              <w:rPr>
                <w:color w:val="000000"/>
                <w:sz w:val="24"/>
                <w:szCs w:val="24"/>
                <w:lang w:bidi="fa-IR"/>
              </w:rPr>
              <w:br/>
              <w:t xml:space="preserve">Our graduates study Islamic sciences, literature, law, economy, medicine, mathematics, Arabic, English, </w:t>
            </w:r>
            <w:proofErr w:type="gramStart"/>
            <w:r w:rsidRPr="007D40A4">
              <w:rPr>
                <w:color w:val="000000"/>
                <w:sz w:val="24"/>
                <w:szCs w:val="24"/>
                <w:lang w:bidi="fa-IR"/>
              </w:rPr>
              <w:t>German</w:t>
            </w:r>
            <w:proofErr w:type="gramEnd"/>
            <w:r w:rsidRPr="007D40A4">
              <w:rPr>
                <w:color w:val="000000"/>
                <w:sz w:val="24"/>
                <w:szCs w:val="24"/>
                <w:lang w:bidi="fa-IR"/>
              </w:rPr>
              <w:t xml:space="preserve"> etc. at the faculties all over the world. A couple years ago, our graduates started to study at the oldest Islamic university ‘Al-</w:t>
            </w:r>
            <w:proofErr w:type="spellStart"/>
            <w:r w:rsidRPr="007D40A4">
              <w:rPr>
                <w:color w:val="000000"/>
                <w:sz w:val="24"/>
                <w:szCs w:val="24"/>
                <w:lang w:bidi="fa-IR"/>
              </w:rPr>
              <w:t>Azhar</w:t>
            </w:r>
            <w:proofErr w:type="spellEnd"/>
            <w:r w:rsidRPr="007D40A4">
              <w:rPr>
                <w:color w:val="000000"/>
                <w:sz w:val="24"/>
                <w:szCs w:val="24"/>
                <w:lang w:bidi="fa-IR"/>
              </w:rPr>
              <w:t xml:space="preserve"> </w:t>
            </w:r>
            <w:proofErr w:type="spellStart"/>
            <w:r w:rsidRPr="007D40A4">
              <w:rPr>
                <w:color w:val="000000"/>
                <w:sz w:val="24"/>
                <w:szCs w:val="24"/>
                <w:lang w:bidi="fa-IR"/>
              </w:rPr>
              <w:t>Univerzity</w:t>
            </w:r>
            <w:proofErr w:type="spellEnd"/>
            <w:r w:rsidRPr="007D40A4">
              <w:rPr>
                <w:color w:val="000000"/>
                <w:sz w:val="24"/>
                <w:szCs w:val="24"/>
                <w:lang w:bidi="fa-IR"/>
              </w:rPr>
              <w:t xml:space="preserve">’ in Cairo. However, our graduates have been joining different universities in Malaysia, </w:t>
            </w:r>
            <w:proofErr w:type="spellStart"/>
            <w:r w:rsidRPr="007D40A4">
              <w:rPr>
                <w:color w:val="000000"/>
                <w:sz w:val="24"/>
                <w:szCs w:val="24"/>
                <w:lang w:bidi="fa-IR"/>
              </w:rPr>
              <w:t>Eurpoe</w:t>
            </w:r>
            <w:proofErr w:type="spellEnd"/>
            <w:r w:rsidRPr="007D40A4">
              <w:rPr>
                <w:color w:val="000000"/>
                <w:sz w:val="24"/>
                <w:szCs w:val="24"/>
                <w:lang w:bidi="fa-IR"/>
              </w:rPr>
              <w:t xml:space="preserve"> or USA since the first generation. A great number of our students from 271, 272, and 273 generations of </w:t>
            </w:r>
            <w:proofErr w:type="spellStart"/>
            <w:r w:rsidRPr="007D40A4">
              <w:rPr>
                <w:color w:val="000000"/>
                <w:sz w:val="24"/>
                <w:szCs w:val="24"/>
                <w:lang w:bidi="fa-IR"/>
              </w:rPr>
              <w:t>Medresa’s</w:t>
            </w:r>
            <w:proofErr w:type="spellEnd"/>
            <w:r w:rsidRPr="007D40A4">
              <w:rPr>
                <w:color w:val="000000"/>
                <w:sz w:val="24"/>
                <w:szCs w:val="24"/>
                <w:lang w:bidi="fa-IR"/>
              </w:rPr>
              <w:t xml:space="preserve"> graduates successfully finished their faculty studies. Some of them </w:t>
            </w:r>
            <w:proofErr w:type="spellStart"/>
            <w:r w:rsidRPr="007D40A4">
              <w:rPr>
                <w:color w:val="000000"/>
                <w:sz w:val="24"/>
                <w:szCs w:val="24"/>
                <w:lang w:bidi="fa-IR"/>
              </w:rPr>
              <w:t>alredy</w:t>
            </w:r>
            <w:proofErr w:type="spellEnd"/>
            <w:r w:rsidRPr="007D40A4">
              <w:rPr>
                <w:color w:val="000000"/>
                <w:sz w:val="24"/>
                <w:szCs w:val="24"/>
                <w:lang w:bidi="fa-IR"/>
              </w:rPr>
              <w:t xml:space="preserve"> got their Master’s Degrees. </w:t>
            </w:r>
            <w:r w:rsidRPr="007D40A4">
              <w:rPr>
                <w:color w:val="000000"/>
                <w:sz w:val="24"/>
                <w:szCs w:val="24"/>
                <w:lang w:bidi="fa-IR"/>
              </w:rPr>
              <w:br/>
              <w:t xml:space="preserve">School subjects from the narrowest group of religious disciplines, such as </w:t>
            </w:r>
            <w:proofErr w:type="spellStart"/>
            <w:r w:rsidRPr="007D40A4">
              <w:rPr>
                <w:color w:val="000000"/>
                <w:sz w:val="24"/>
                <w:szCs w:val="24"/>
                <w:lang w:bidi="fa-IR"/>
              </w:rPr>
              <w:t>Kiraet</w:t>
            </w:r>
            <w:proofErr w:type="spellEnd"/>
            <w:r w:rsidRPr="007D40A4">
              <w:rPr>
                <w:color w:val="000000"/>
                <w:sz w:val="24"/>
                <w:szCs w:val="24"/>
                <w:lang w:bidi="fa-IR"/>
              </w:rPr>
              <w:t xml:space="preserve"> (Qur’an), </w:t>
            </w:r>
            <w:proofErr w:type="spellStart"/>
            <w:r w:rsidRPr="007D40A4">
              <w:rPr>
                <w:color w:val="000000"/>
                <w:sz w:val="24"/>
                <w:szCs w:val="24"/>
                <w:lang w:bidi="fa-IR"/>
              </w:rPr>
              <w:t>Akaid</w:t>
            </w:r>
            <w:proofErr w:type="spellEnd"/>
            <w:r w:rsidRPr="007D40A4">
              <w:rPr>
                <w:color w:val="000000"/>
                <w:sz w:val="24"/>
                <w:szCs w:val="24"/>
                <w:lang w:bidi="fa-IR"/>
              </w:rPr>
              <w:t xml:space="preserve"> (the tenets), </w:t>
            </w:r>
            <w:proofErr w:type="spellStart"/>
            <w:r w:rsidRPr="007D40A4">
              <w:rPr>
                <w:color w:val="000000"/>
                <w:sz w:val="24"/>
                <w:szCs w:val="24"/>
                <w:lang w:bidi="fa-IR"/>
              </w:rPr>
              <w:t>Fikh</w:t>
            </w:r>
            <w:proofErr w:type="spellEnd"/>
            <w:r w:rsidRPr="007D40A4">
              <w:rPr>
                <w:color w:val="000000"/>
                <w:sz w:val="24"/>
                <w:szCs w:val="24"/>
                <w:lang w:bidi="fa-IR"/>
              </w:rPr>
              <w:t xml:space="preserve"> (Islamic jurisprudence), and Islamic history, are studied thought all four years in </w:t>
            </w:r>
            <w:proofErr w:type="spellStart"/>
            <w:r w:rsidRPr="007D40A4">
              <w:rPr>
                <w:color w:val="000000"/>
                <w:sz w:val="24"/>
                <w:szCs w:val="24"/>
                <w:lang w:bidi="fa-IR"/>
              </w:rPr>
              <w:t>Medresa</w:t>
            </w:r>
            <w:proofErr w:type="spellEnd"/>
            <w:r w:rsidRPr="007D40A4">
              <w:rPr>
                <w:color w:val="000000"/>
                <w:sz w:val="24"/>
                <w:szCs w:val="24"/>
                <w:lang w:bidi="fa-IR"/>
              </w:rPr>
              <w:t xml:space="preserve">. </w:t>
            </w:r>
            <w:proofErr w:type="spellStart"/>
            <w:r w:rsidRPr="007D40A4">
              <w:rPr>
                <w:color w:val="000000"/>
                <w:sz w:val="24"/>
                <w:szCs w:val="24"/>
                <w:lang w:bidi="fa-IR"/>
              </w:rPr>
              <w:t>Beside</w:t>
            </w:r>
            <w:proofErr w:type="spellEnd"/>
            <w:r w:rsidRPr="007D40A4">
              <w:rPr>
                <w:color w:val="000000"/>
                <w:sz w:val="24"/>
                <w:szCs w:val="24"/>
                <w:lang w:bidi="fa-IR"/>
              </w:rPr>
              <w:t xml:space="preserve"> that, thought all four years students study the language of Qur’an - Arabic, and English - the language of contemporary </w:t>
            </w:r>
            <w:proofErr w:type="spellStart"/>
            <w:r w:rsidRPr="007D40A4">
              <w:rPr>
                <w:color w:val="000000"/>
                <w:sz w:val="24"/>
                <w:szCs w:val="24"/>
                <w:lang w:bidi="fa-IR"/>
              </w:rPr>
              <w:t>civilisation</w:t>
            </w:r>
            <w:proofErr w:type="spellEnd"/>
            <w:r w:rsidRPr="007D40A4">
              <w:rPr>
                <w:color w:val="000000"/>
                <w:sz w:val="24"/>
                <w:szCs w:val="24"/>
                <w:lang w:bidi="fa-IR"/>
              </w:rPr>
              <w:t xml:space="preserve">. </w:t>
            </w:r>
            <w:r w:rsidRPr="007D40A4">
              <w:rPr>
                <w:color w:val="000000"/>
                <w:sz w:val="24"/>
                <w:szCs w:val="24"/>
                <w:lang w:bidi="fa-IR"/>
              </w:rPr>
              <w:br/>
              <w:t xml:space="preserve">Literacy is taught on classes of Bosnian language and literature thought all four years in </w:t>
            </w:r>
            <w:proofErr w:type="spellStart"/>
            <w:r w:rsidRPr="007D40A4">
              <w:rPr>
                <w:color w:val="000000"/>
                <w:sz w:val="24"/>
                <w:szCs w:val="24"/>
                <w:lang w:bidi="fa-IR"/>
              </w:rPr>
              <w:t>Medresa</w:t>
            </w:r>
            <w:proofErr w:type="spellEnd"/>
            <w:r w:rsidRPr="007D40A4">
              <w:rPr>
                <w:color w:val="000000"/>
                <w:sz w:val="24"/>
                <w:szCs w:val="24"/>
                <w:lang w:bidi="fa-IR"/>
              </w:rPr>
              <w:t xml:space="preserve">, too. Organizing the classes of Physical education, </w:t>
            </w:r>
            <w:proofErr w:type="spellStart"/>
            <w:r w:rsidRPr="007D40A4">
              <w:rPr>
                <w:color w:val="000000"/>
                <w:sz w:val="24"/>
                <w:szCs w:val="24"/>
                <w:lang w:bidi="fa-IR"/>
              </w:rPr>
              <w:t>Medresa</w:t>
            </w:r>
            <w:proofErr w:type="spellEnd"/>
            <w:r w:rsidRPr="007D40A4">
              <w:rPr>
                <w:color w:val="000000"/>
                <w:sz w:val="24"/>
                <w:szCs w:val="24"/>
                <w:lang w:bidi="fa-IR"/>
              </w:rPr>
              <w:t xml:space="preserve"> tries to keep its students fit. The rest of the school subjects are taught in one or two years. </w:t>
            </w:r>
            <w:r w:rsidRPr="007D40A4">
              <w:rPr>
                <w:color w:val="000000"/>
                <w:sz w:val="24"/>
                <w:szCs w:val="24"/>
                <w:lang w:bidi="fa-IR"/>
              </w:rPr>
              <w:br/>
              <w:t xml:space="preserve">Mature examination in </w:t>
            </w:r>
            <w:proofErr w:type="spellStart"/>
            <w:r w:rsidRPr="007D40A4">
              <w:rPr>
                <w:color w:val="000000"/>
                <w:sz w:val="24"/>
                <w:szCs w:val="24"/>
                <w:lang w:bidi="fa-IR"/>
              </w:rPr>
              <w:t>Behram-begova</w:t>
            </w:r>
            <w:proofErr w:type="spellEnd"/>
            <w:r w:rsidRPr="007D40A4">
              <w:rPr>
                <w:color w:val="000000"/>
                <w:sz w:val="24"/>
                <w:szCs w:val="24"/>
                <w:lang w:bidi="fa-IR"/>
              </w:rPr>
              <w:t xml:space="preserve"> </w:t>
            </w:r>
            <w:proofErr w:type="spellStart"/>
            <w:r w:rsidRPr="007D40A4">
              <w:rPr>
                <w:color w:val="000000"/>
                <w:sz w:val="24"/>
                <w:szCs w:val="24"/>
                <w:lang w:bidi="fa-IR"/>
              </w:rPr>
              <w:t>medresa</w:t>
            </w:r>
            <w:proofErr w:type="spellEnd"/>
            <w:r w:rsidRPr="007D40A4">
              <w:rPr>
                <w:color w:val="000000"/>
                <w:sz w:val="24"/>
                <w:szCs w:val="24"/>
                <w:lang w:bidi="fa-IR"/>
              </w:rPr>
              <w:t xml:space="preserve"> consists of final exams which are designed to </w:t>
            </w:r>
            <w:r w:rsidRPr="007D40A4">
              <w:rPr>
                <w:color w:val="000000"/>
                <w:sz w:val="24"/>
                <w:szCs w:val="24"/>
                <w:lang w:bidi="fa-IR"/>
              </w:rPr>
              <w:lastRenderedPageBreak/>
              <w:t xml:space="preserve">test maturity of the school’s male and female graduates. </w:t>
            </w:r>
            <w:r w:rsidRPr="007D40A4">
              <w:rPr>
                <w:color w:val="000000"/>
                <w:sz w:val="24"/>
                <w:szCs w:val="24"/>
                <w:lang w:bidi="fa-IR"/>
              </w:rPr>
              <w:br/>
              <w:t xml:space="preserve">At the end, students have to show their research and literary abilities, working on and writing final (Matura) papers. Besides it they have to sit and pass their final exams in four school subjects (Bosnian and Arabic language, </w:t>
            </w:r>
            <w:proofErr w:type="spellStart"/>
            <w:r w:rsidRPr="007D40A4">
              <w:rPr>
                <w:color w:val="000000"/>
                <w:sz w:val="24"/>
                <w:szCs w:val="24"/>
                <w:lang w:bidi="fa-IR"/>
              </w:rPr>
              <w:t>Kiraet</w:t>
            </w:r>
            <w:proofErr w:type="spellEnd"/>
            <w:r w:rsidRPr="007D40A4">
              <w:rPr>
                <w:color w:val="000000"/>
                <w:sz w:val="24"/>
                <w:szCs w:val="24"/>
                <w:lang w:bidi="fa-IR"/>
              </w:rPr>
              <w:t xml:space="preserve"> and </w:t>
            </w:r>
            <w:proofErr w:type="spellStart"/>
            <w:r w:rsidRPr="007D40A4">
              <w:rPr>
                <w:color w:val="000000"/>
                <w:sz w:val="24"/>
                <w:szCs w:val="24"/>
                <w:lang w:bidi="fa-IR"/>
              </w:rPr>
              <w:t>Fikh</w:t>
            </w:r>
            <w:proofErr w:type="spellEnd"/>
            <w:r w:rsidRPr="007D40A4">
              <w:rPr>
                <w:color w:val="000000"/>
                <w:sz w:val="24"/>
                <w:szCs w:val="24"/>
                <w:lang w:bidi="fa-IR"/>
              </w:rPr>
              <w:t xml:space="preserve">) which is the </w:t>
            </w:r>
            <w:proofErr w:type="spellStart"/>
            <w:r w:rsidRPr="007D40A4">
              <w:rPr>
                <w:color w:val="000000"/>
                <w:sz w:val="24"/>
                <w:szCs w:val="24"/>
                <w:lang w:bidi="fa-IR"/>
              </w:rPr>
              <w:t>the</w:t>
            </w:r>
            <w:proofErr w:type="spellEnd"/>
            <w:r w:rsidRPr="007D40A4">
              <w:rPr>
                <w:color w:val="000000"/>
                <w:sz w:val="24"/>
                <w:szCs w:val="24"/>
                <w:lang w:bidi="fa-IR"/>
              </w:rPr>
              <w:t xml:space="preserve"> best way to synthesize all that has been learned thought four-year education in </w:t>
            </w:r>
            <w:proofErr w:type="spellStart"/>
            <w:r w:rsidRPr="007D40A4">
              <w:rPr>
                <w:color w:val="000000"/>
                <w:sz w:val="24"/>
                <w:szCs w:val="24"/>
                <w:lang w:bidi="fa-IR"/>
              </w:rPr>
              <w:t>Medresa</w:t>
            </w:r>
            <w:proofErr w:type="spellEnd"/>
            <w:r w:rsidRPr="007D40A4">
              <w:rPr>
                <w:color w:val="000000"/>
                <w:sz w:val="24"/>
                <w:szCs w:val="24"/>
                <w:lang w:bidi="fa-IR"/>
              </w:rPr>
              <w:t>.</w:t>
            </w:r>
          </w:p>
        </w:tc>
      </w:tr>
      <w:tr w:rsidR="001052C9" w:rsidRPr="0081715B" w:rsidTr="007D40A4">
        <w:trPr>
          <w:trHeight w:val="597"/>
        </w:trPr>
        <w:tc>
          <w:tcPr>
            <w:cnfStyle w:val="001000000000"/>
            <w:tcW w:w="1602" w:type="dxa"/>
          </w:tcPr>
          <w:p w:rsidR="001052C9" w:rsidRPr="0081715B" w:rsidRDefault="001052C9" w:rsidP="007D40A4">
            <w:pPr>
              <w:rPr>
                <w:rFonts w:eastAsia="Calibri" w:cs="Arial"/>
                <w:color w:val="000000"/>
                <w:sz w:val="24"/>
                <w:szCs w:val="24"/>
              </w:rPr>
            </w:pPr>
            <w:r w:rsidRPr="0081715B">
              <w:rPr>
                <w:sz w:val="24"/>
                <w:szCs w:val="24"/>
              </w:rPr>
              <w:lastRenderedPageBreak/>
              <w:t>Main disciplines</w:t>
            </w:r>
          </w:p>
        </w:tc>
        <w:tc>
          <w:tcPr>
            <w:tcW w:w="9472" w:type="dxa"/>
            <w:gridSpan w:val="4"/>
          </w:tcPr>
          <w:p w:rsidR="001052C9" w:rsidRPr="0081715B" w:rsidRDefault="007D40A4" w:rsidP="007D40A4">
            <w:pPr>
              <w:cnfStyle w:val="000000000000"/>
              <w:rPr>
                <w:rFonts w:cs="Arial"/>
                <w:color w:val="000000"/>
                <w:sz w:val="24"/>
                <w:szCs w:val="24"/>
                <w:lang/>
              </w:rPr>
            </w:pPr>
            <w:r>
              <w:rPr>
                <w:rFonts w:cs="Arial"/>
                <w:color w:val="000000"/>
                <w:sz w:val="24"/>
                <w:szCs w:val="24"/>
                <w:lang/>
              </w:rPr>
              <w:t>-----------------------</w:t>
            </w:r>
          </w:p>
        </w:tc>
      </w:tr>
      <w:tr w:rsidR="001052C9" w:rsidRPr="0081715B" w:rsidTr="007D40A4">
        <w:trPr>
          <w:cnfStyle w:val="000000100000"/>
          <w:trHeight w:val="360"/>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Website</w:t>
            </w:r>
          </w:p>
        </w:tc>
        <w:tc>
          <w:tcPr>
            <w:tcW w:w="9472" w:type="dxa"/>
            <w:gridSpan w:val="4"/>
          </w:tcPr>
          <w:p w:rsidR="001052C9" w:rsidRPr="0081715B" w:rsidRDefault="007D40A4" w:rsidP="007D40A4">
            <w:pPr>
              <w:cnfStyle w:val="000000100000"/>
              <w:rPr>
                <w:sz w:val="24"/>
                <w:szCs w:val="24"/>
              </w:rPr>
            </w:pPr>
            <w:r w:rsidRPr="007D40A4">
              <w:rPr>
                <w:sz w:val="24"/>
                <w:szCs w:val="24"/>
              </w:rPr>
              <w:t>http://www.medresatz.edu.ba</w:t>
            </w:r>
          </w:p>
        </w:tc>
      </w:tr>
      <w:tr w:rsidR="001052C9" w:rsidRPr="0081715B" w:rsidTr="007D40A4">
        <w:trPr>
          <w:trHeight w:val="294"/>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E-mail</w:t>
            </w:r>
          </w:p>
        </w:tc>
        <w:tc>
          <w:tcPr>
            <w:tcW w:w="9472" w:type="dxa"/>
            <w:gridSpan w:val="4"/>
          </w:tcPr>
          <w:p w:rsidR="001052C9" w:rsidRPr="0081715B" w:rsidRDefault="007D40A4" w:rsidP="007D40A4">
            <w:pPr>
              <w:cnfStyle w:val="000000000000"/>
              <w:rPr>
                <w:sz w:val="24"/>
                <w:szCs w:val="24"/>
              </w:rPr>
            </w:pPr>
            <w:r w:rsidRPr="007D40A4">
              <w:rPr>
                <w:sz w:val="24"/>
                <w:szCs w:val="24"/>
              </w:rPr>
              <w:t>medresa@medresatz.edu.ba</w:t>
            </w:r>
            <w:r>
              <w:rPr>
                <w:sz w:val="24"/>
                <w:szCs w:val="24"/>
              </w:rPr>
              <w:t xml:space="preserve"> - </w:t>
            </w:r>
            <w:r w:rsidRPr="007D40A4">
              <w:rPr>
                <w:sz w:val="24"/>
                <w:szCs w:val="24"/>
              </w:rPr>
              <w:t>medresa@bih.net.ba</w:t>
            </w:r>
            <w:r>
              <w:rPr>
                <w:sz w:val="24"/>
                <w:szCs w:val="24"/>
              </w:rPr>
              <w:t xml:space="preserve"> </w:t>
            </w:r>
          </w:p>
        </w:tc>
      </w:tr>
      <w:tr w:rsidR="001052C9" w:rsidRPr="0081715B" w:rsidTr="007D40A4">
        <w:trPr>
          <w:cnfStyle w:val="000000100000"/>
          <w:trHeight w:val="294"/>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Fax</w:t>
            </w:r>
          </w:p>
        </w:tc>
        <w:tc>
          <w:tcPr>
            <w:tcW w:w="9472" w:type="dxa"/>
            <w:gridSpan w:val="4"/>
          </w:tcPr>
          <w:p w:rsidR="001052C9" w:rsidRPr="0081715B" w:rsidRDefault="007D40A4" w:rsidP="007D40A4">
            <w:pPr>
              <w:cnfStyle w:val="000000100000"/>
              <w:rPr>
                <w:sz w:val="24"/>
                <w:szCs w:val="24"/>
              </w:rPr>
            </w:pPr>
            <w:r w:rsidRPr="007D40A4">
              <w:rPr>
                <w:sz w:val="24"/>
                <w:szCs w:val="24"/>
              </w:rPr>
              <w:t>+ 387 35 28 11 54</w:t>
            </w:r>
          </w:p>
        </w:tc>
      </w:tr>
      <w:tr w:rsidR="001052C9" w:rsidRPr="0081715B" w:rsidTr="007D40A4">
        <w:trPr>
          <w:trHeight w:val="294"/>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Tel</w:t>
            </w:r>
          </w:p>
        </w:tc>
        <w:tc>
          <w:tcPr>
            <w:tcW w:w="9472" w:type="dxa"/>
            <w:gridSpan w:val="4"/>
          </w:tcPr>
          <w:p w:rsidR="001052C9" w:rsidRPr="0081715B" w:rsidRDefault="007D40A4" w:rsidP="007D40A4">
            <w:pPr>
              <w:cnfStyle w:val="000000000000"/>
              <w:rPr>
                <w:sz w:val="24"/>
                <w:szCs w:val="24"/>
              </w:rPr>
            </w:pPr>
            <w:r w:rsidRPr="007D40A4">
              <w:rPr>
                <w:sz w:val="24"/>
                <w:szCs w:val="24"/>
              </w:rPr>
              <w:t>+ 387 35 28 11 51</w:t>
            </w:r>
          </w:p>
        </w:tc>
      </w:tr>
      <w:tr w:rsidR="001052C9" w:rsidRPr="0081715B" w:rsidTr="007D40A4">
        <w:trPr>
          <w:cnfStyle w:val="000000100000"/>
          <w:trHeight w:val="294"/>
        </w:trPr>
        <w:tc>
          <w:tcPr>
            <w:cnfStyle w:val="001000000000"/>
            <w:tcW w:w="1602" w:type="dxa"/>
          </w:tcPr>
          <w:p w:rsidR="001052C9" w:rsidRPr="0081715B" w:rsidRDefault="001052C9" w:rsidP="007D40A4">
            <w:pPr>
              <w:rPr>
                <w:sz w:val="24"/>
                <w:szCs w:val="24"/>
              </w:rPr>
            </w:pPr>
            <w:r w:rsidRPr="0081715B">
              <w:rPr>
                <w:rFonts w:eastAsia="Calibri" w:cs="Arial"/>
                <w:color w:val="000000"/>
                <w:sz w:val="24"/>
                <w:szCs w:val="24"/>
              </w:rPr>
              <w:t>Address</w:t>
            </w:r>
          </w:p>
        </w:tc>
        <w:tc>
          <w:tcPr>
            <w:tcW w:w="9472" w:type="dxa"/>
            <w:gridSpan w:val="4"/>
          </w:tcPr>
          <w:p w:rsidR="001052C9" w:rsidRPr="0081715B" w:rsidRDefault="007D40A4" w:rsidP="007D40A4">
            <w:pPr>
              <w:cnfStyle w:val="000000100000"/>
              <w:rPr>
                <w:sz w:val="24"/>
                <w:szCs w:val="24"/>
              </w:rPr>
            </w:pPr>
            <w:proofErr w:type="spellStart"/>
            <w:r w:rsidRPr="007D40A4">
              <w:rPr>
                <w:sz w:val="24"/>
                <w:szCs w:val="24"/>
              </w:rPr>
              <w:t>Behram-begova</w:t>
            </w:r>
            <w:proofErr w:type="spellEnd"/>
            <w:r w:rsidRPr="007D40A4">
              <w:rPr>
                <w:sz w:val="24"/>
                <w:szCs w:val="24"/>
              </w:rPr>
              <w:t xml:space="preserve"> </w:t>
            </w:r>
            <w:proofErr w:type="spellStart"/>
            <w:r w:rsidRPr="007D40A4">
              <w:rPr>
                <w:sz w:val="24"/>
                <w:szCs w:val="24"/>
              </w:rPr>
              <w:t>medresa</w:t>
            </w:r>
            <w:proofErr w:type="spellEnd"/>
            <w:r>
              <w:rPr>
                <w:sz w:val="24"/>
                <w:szCs w:val="24"/>
              </w:rPr>
              <w:t xml:space="preserve"> </w:t>
            </w:r>
            <w:proofErr w:type="spellStart"/>
            <w:r>
              <w:rPr>
                <w:sz w:val="24"/>
                <w:szCs w:val="24"/>
              </w:rPr>
              <w:t>Behram-begova</w:t>
            </w:r>
            <w:proofErr w:type="spellEnd"/>
            <w:r>
              <w:rPr>
                <w:sz w:val="24"/>
                <w:szCs w:val="24"/>
              </w:rPr>
              <w:t xml:space="preserve"> 1, 75000 Tuzla </w:t>
            </w:r>
            <w:proofErr w:type="spellStart"/>
            <w:r w:rsidRPr="007D40A4">
              <w:rPr>
                <w:sz w:val="24"/>
                <w:szCs w:val="24"/>
              </w:rPr>
              <w:t>Bosna</w:t>
            </w:r>
            <w:proofErr w:type="spellEnd"/>
            <w:r w:rsidRPr="007D40A4">
              <w:rPr>
                <w:sz w:val="24"/>
                <w:szCs w:val="24"/>
              </w:rPr>
              <w:t xml:space="preserve"> </w:t>
            </w:r>
            <w:proofErr w:type="spellStart"/>
            <w:r w:rsidRPr="007D40A4">
              <w:rPr>
                <w:sz w:val="24"/>
                <w:szCs w:val="24"/>
              </w:rPr>
              <w:t>i</w:t>
            </w:r>
            <w:proofErr w:type="spellEnd"/>
            <w:r w:rsidRPr="007D40A4">
              <w:rPr>
                <w:sz w:val="24"/>
                <w:szCs w:val="24"/>
              </w:rPr>
              <w:t xml:space="preserve"> </w:t>
            </w:r>
            <w:proofErr w:type="spellStart"/>
            <w:r w:rsidRPr="007D40A4">
              <w:rPr>
                <w:sz w:val="24"/>
                <w:szCs w:val="24"/>
              </w:rPr>
              <w:t>Hecegovina</w:t>
            </w:r>
            <w:proofErr w:type="spellEnd"/>
          </w:p>
        </w:tc>
      </w:tr>
    </w:tbl>
    <w:p w:rsidR="001052C9" w:rsidRPr="0081715B" w:rsidRDefault="001052C9" w:rsidP="001052C9">
      <w:pPr>
        <w:rPr>
          <w:sz w:val="24"/>
          <w:szCs w:val="24"/>
        </w:rPr>
      </w:pPr>
    </w:p>
    <w:p w:rsidR="001052C9" w:rsidRPr="0081715B" w:rsidRDefault="001052C9" w:rsidP="001052C9">
      <w:pPr>
        <w:rPr>
          <w:sz w:val="24"/>
          <w:szCs w:val="24"/>
        </w:rPr>
      </w:pPr>
    </w:p>
    <w:p w:rsidR="001052C9" w:rsidRPr="0081715B" w:rsidRDefault="001052C9" w:rsidP="001052C9">
      <w:pPr>
        <w:rPr>
          <w:sz w:val="24"/>
          <w:szCs w:val="24"/>
        </w:rPr>
      </w:pPr>
    </w:p>
    <w:p w:rsidR="001052C9" w:rsidRDefault="001052C9" w:rsidP="001052C9"/>
    <w:p w:rsidR="001052C9" w:rsidRDefault="001052C9" w:rsidP="001052C9"/>
    <w:p w:rsidR="001052C9" w:rsidRDefault="001052C9" w:rsidP="001052C9"/>
    <w:p w:rsidR="00EA4E95" w:rsidRDefault="00EA4E95"/>
    <w:sectPr w:rsidR="00EA4E95" w:rsidSect="007D40A4">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052C9"/>
    <w:rsid w:val="001052C9"/>
    <w:rsid w:val="00733D35"/>
    <w:rsid w:val="007D40A4"/>
    <w:rsid w:val="00B26648"/>
    <w:rsid w:val="00B67869"/>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C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
    <w:name w:val="Colorful List"/>
    <w:basedOn w:val="TableNormal"/>
    <w:uiPriority w:val="72"/>
    <w:rsid w:val="001052C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10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C9"/>
    <w:rPr>
      <w:rFonts w:ascii="Tahoma" w:hAnsi="Tahoma" w:cs="Tahoma"/>
      <w:sz w:val="16"/>
      <w:szCs w:val="16"/>
    </w:rPr>
  </w:style>
  <w:style w:type="character" w:styleId="Hyperlink">
    <w:name w:val="Hyperlink"/>
    <w:basedOn w:val="DefaultParagraphFont"/>
    <w:uiPriority w:val="99"/>
    <w:unhideWhenUsed/>
    <w:rsid w:val="007D40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2</cp:revision>
  <dcterms:created xsi:type="dcterms:W3CDTF">2011-08-06T22:19:00Z</dcterms:created>
  <dcterms:modified xsi:type="dcterms:W3CDTF">2011-08-06T22:35:00Z</dcterms:modified>
</cp:coreProperties>
</file>