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29" w:rsidRPr="002D2529" w:rsidRDefault="002D2529" w:rsidP="002D2529">
      <w:pPr>
        <w:rPr>
          <w:sz w:val="24"/>
          <w:szCs w:val="24"/>
        </w:rPr>
      </w:pPr>
      <w:r w:rsidRPr="002D2529">
        <w:rPr>
          <w:sz w:val="24"/>
          <w:szCs w:val="24"/>
        </w:rPr>
        <w:t>32</w:t>
      </w:r>
    </w:p>
    <w:tbl>
      <w:tblPr>
        <w:tblStyle w:val="ColorfulList"/>
        <w:tblW w:w="11074" w:type="dxa"/>
        <w:tblLook w:val="04A0"/>
      </w:tblPr>
      <w:tblGrid>
        <w:gridCol w:w="1656"/>
        <w:gridCol w:w="876"/>
        <w:gridCol w:w="1991"/>
        <w:gridCol w:w="3245"/>
        <w:gridCol w:w="3306"/>
      </w:tblGrid>
      <w:tr w:rsidR="002D2529" w:rsidRPr="002D2529" w:rsidTr="00EF3A7E">
        <w:trPr>
          <w:cnfStyle w:val="100000000000"/>
          <w:trHeight w:val="900"/>
        </w:trPr>
        <w:tc>
          <w:tcPr>
            <w:cnfStyle w:val="001000000000"/>
            <w:tcW w:w="11074" w:type="dxa"/>
            <w:gridSpan w:val="5"/>
          </w:tcPr>
          <w:p w:rsidR="002D2529" w:rsidRPr="002D2529" w:rsidRDefault="002D2529" w:rsidP="00EF3A7E">
            <w:pPr>
              <w:jc w:val="center"/>
              <w:rPr>
                <w:rFonts w:eastAsia="Calibri" w:cs="Arial"/>
                <w:b w:val="0"/>
                <w:bCs w:val="0"/>
                <w:color w:val="FFFFFF"/>
                <w:sz w:val="24"/>
                <w:szCs w:val="24"/>
              </w:rPr>
            </w:pPr>
            <w:r w:rsidRPr="002D2529">
              <w:rPr>
                <w:rFonts w:eastAsia="Calibri" w:cs="Arial"/>
                <w:b w:val="0"/>
                <w:bCs w:val="0"/>
                <w:color w:val="FFFFFF"/>
                <w:sz w:val="24"/>
                <w:szCs w:val="24"/>
              </w:rPr>
              <w:t>Asian Cultural Documentation Center</w:t>
            </w:r>
          </w:p>
          <w:p w:rsidR="002D2529" w:rsidRPr="002D2529" w:rsidRDefault="002D2529" w:rsidP="00EF3A7E">
            <w:pPr>
              <w:jc w:val="center"/>
              <w:rPr>
                <w:sz w:val="24"/>
                <w:szCs w:val="24"/>
              </w:rPr>
            </w:pPr>
            <w:r w:rsidRPr="002D2529">
              <w:rPr>
                <w:rFonts w:eastAsia="Calibri" w:cs="Arial"/>
                <w:b w:val="0"/>
                <w:bCs w:val="0"/>
                <w:color w:val="FFFFFF"/>
                <w:sz w:val="24"/>
                <w:szCs w:val="24"/>
              </w:rPr>
              <w:t>(Centers and Academies)</w:t>
            </w:r>
          </w:p>
        </w:tc>
      </w:tr>
      <w:tr w:rsidR="002D2529" w:rsidRPr="002D2529" w:rsidTr="00EF3A7E">
        <w:trPr>
          <w:cnfStyle w:val="000000100000"/>
          <w:trHeight w:val="294"/>
        </w:trPr>
        <w:tc>
          <w:tcPr>
            <w:cnfStyle w:val="001000000000"/>
            <w:tcW w:w="5022" w:type="dxa"/>
            <w:gridSpan w:val="3"/>
          </w:tcPr>
          <w:p w:rsidR="002D2529" w:rsidRPr="002D2529" w:rsidRDefault="002D2529" w:rsidP="00EF3A7E">
            <w:pPr>
              <w:rPr>
                <w:sz w:val="24"/>
                <w:szCs w:val="24"/>
              </w:rPr>
            </w:pPr>
          </w:p>
        </w:tc>
        <w:tc>
          <w:tcPr>
            <w:tcW w:w="3662" w:type="dxa"/>
          </w:tcPr>
          <w:p w:rsidR="002D2529" w:rsidRPr="002D2529" w:rsidRDefault="002D2529" w:rsidP="00EF3A7E">
            <w:pPr>
              <w:cnfStyle w:val="000000100000"/>
              <w:rPr>
                <w:sz w:val="24"/>
                <w:szCs w:val="24"/>
              </w:rPr>
            </w:pPr>
            <w:r w:rsidRPr="002D2529">
              <w:rPr>
                <w:rFonts w:eastAsia="Calibri" w:cs="Arial"/>
                <w:color w:val="000000"/>
                <w:sz w:val="24"/>
                <w:szCs w:val="24"/>
              </w:rPr>
              <w:t>Logo</w:t>
            </w:r>
          </w:p>
        </w:tc>
        <w:tc>
          <w:tcPr>
            <w:tcW w:w="2390" w:type="dxa"/>
            <w:vMerge w:val="restart"/>
          </w:tcPr>
          <w:p w:rsidR="002D2529" w:rsidRPr="002D2529" w:rsidRDefault="002D2529" w:rsidP="00EF3A7E">
            <w:pPr>
              <w:cnfStyle w:val="000000100000"/>
              <w:rPr>
                <w:sz w:val="24"/>
                <w:szCs w:val="24"/>
              </w:rPr>
            </w:pPr>
            <w:r w:rsidRPr="002D2529">
              <w:rPr>
                <w:noProof/>
                <w:sz w:val="24"/>
                <w:szCs w:val="24"/>
              </w:rPr>
              <w:drawing>
                <wp:inline distT="0" distB="0" distL="0" distR="0">
                  <wp:extent cx="1938138" cy="1795725"/>
                  <wp:effectExtent l="19050" t="0" r="496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40959" cy="1798339"/>
                          </a:xfrm>
                          <a:prstGeom prst="rect">
                            <a:avLst/>
                          </a:prstGeom>
                          <a:noFill/>
                          <a:ln w="9525">
                            <a:noFill/>
                            <a:miter lim="800000"/>
                            <a:headEnd/>
                            <a:tailEnd/>
                          </a:ln>
                        </pic:spPr>
                      </pic:pic>
                    </a:graphicData>
                  </a:graphic>
                </wp:inline>
              </w:drawing>
            </w:r>
          </w:p>
        </w:tc>
      </w:tr>
      <w:tr w:rsidR="002D2529" w:rsidRPr="002D2529" w:rsidTr="00EF3A7E">
        <w:trPr>
          <w:trHeight w:val="597"/>
        </w:trPr>
        <w:tc>
          <w:tcPr>
            <w:cnfStyle w:val="001000000000"/>
            <w:tcW w:w="8684" w:type="dxa"/>
            <w:gridSpan w:val="4"/>
          </w:tcPr>
          <w:p w:rsidR="002D2529" w:rsidRPr="002D2529" w:rsidRDefault="002D2529" w:rsidP="00EF3A7E">
            <w:pPr>
              <w:rPr>
                <w:sz w:val="24"/>
                <w:szCs w:val="24"/>
              </w:rPr>
            </w:pPr>
          </w:p>
        </w:tc>
        <w:tc>
          <w:tcPr>
            <w:tcW w:w="2390" w:type="dxa"/>
            <w:vMerge/>
          </w:tcPr>
          <w:p w:rsidR="002D2529" w:rsidRPr="002D2529" w:rsidRDefault="002D2529" w:rsidP="00EF3A7E">
            <w:pPr>
              <w:cnfStyle w:val="000000000000"/>
              <w:rPr>
                <w:sz w:val="24"/>
                <w:szCs w:val="24"/>
              </w:rPr>
            </w:pPr>
          </w:p>
        </w:tc>
      </w:tr>
      <w:tr w:rsidR="002D2529" w:rsidRPr="002D2529" w:rsidTr="00EF3A7E">
        <w:trPr>
          <w:cnfStyle w:val="000000100000"/>
          <w:trHeight w:val="294"/>
        </w:trPr>
        <w:tc>
          <w:tcPr>
            <w:cnfStyle w:val="001000000000"/>
            <w:tcW w:w="2718" w:type="dxa"/>
            <w:gridSpan w:val="2"/>
          </w:tcPr>
          <w:p w:rsidR="002D2529" w:rsidRPr="002D2529" w:rsidRDefault="002D2529" w:rsidP="00EF3A7E">
            <w:pPr>
              <w:rPr>
                <w:sz w:val="24"/>
                <w:szCs w:val="24"/>
              </w:rPr>
            </w:pPr>
            <w:r w:rsidRPr="002D2529">
              <w:rPr>
                <w:sz w:val="24"/>
                <w:szCs w:val="24"/>
              </w:rPr>
              <w:t>Name</w:t>
            </w:r>
          </w:p>
        </w:tc>
        <w:tc>
          <w:tcPr>
            <w:tcW w:w="5966" w:type="dxa"/>
            <w:gridSpan w:val="2"/>
          </w:tcPr>
          <w:p w:rsidR="002D2529" w:rsidRPr="002D2529" w:rsidRDefault="002D2529" w:rsidP="002D2529">
            <w:pPr>
              <w:cnfStyle w:val="000000100000"/>
              <w:rPr>
                <w:sz w:val="24"/>
                <w:szCs w:val="24"/>
              </w:rPr>
            </w:pPr>
            <w:proofErr w:type="spellStart"/>
            <w:r w:rsidRPr="002D2529">
              <w:rPr>
                <w:sz w:val="24"/>
                <w:szCs w:val="24"/>
              </w:rPr>
              <w:t>Ahlus</w:t>
            </w:r>
            <w:proofErr w:type="spellEnd"/>
            <w:r w:rsidRPr="002D2529">
              <w:rPr>
                <w:sz w:val="24"/>
                <w:szCs w:val="24"/>
              </w:rPr>
              <w:t xml:space="preserve"> </w:t>
            </w:r>
            <w:proofErr w:type="spellStart"/>
            <w:r w:rsidRPr="002D2529">
              <w:rPr>
                <w:sz w:val="24"/>
                <w:szCs w:val="24"/>
              </w:rPr>
              <w:t>Sunnah</w:t>
            </w:r>
            <w:proofErr w:type="spellEnd"/>
            <w:r w:rsidRPr="002D2529">
              <w:rPr>
                <w:sz w:val="24"/>
                <w:szCs w:val="24"/>
              </w:rPr>
              <w:t xml:space="preserve"> </w:t>
            </w:r>
            <w:proofErr w:type="spellStart"/>
            <w:r w:rsidRPr="002D2529">
              <w:rPr>
                <w:sz w:val="24"/>
                <w:szCs w:val="24"/>
              </w:rPr>
              <w:t>wal</w:t>
            </w:r>
            <w:proofErr w:type="spellEnd"/>
            <w:r w:rsidRPr="002D2529">
              <w:rPr>
                <w:sz w:val="24"/>
                <w:szCs w:val="24"/>
              </w:rPr>
              <w:t xml:space="preserve"> </w:t>
            </w:r>
            <w:proofErr w:type="spellStart"/>
            <w:r w:rsidRPr="002D2529">
              <w:rPr>
                <w:sz w:val="24"/>
                <w:szCs w:val="24"/>
              </w:rPr>
              <w:t>Jama’ah</w:t>
            </w:r>
            <w:proofErr w:type="spellEnd"/>
          </w:p>
        </w:tc>
        <w:tc>
          <w:tcPr>
            <w:tcW w:w="2390" w:type="dxa"/>
            <w:vMerge/>
          </w:tcPr>
          <w:p w:rsidR="002D2529" w:rsidRPr="002D2529" w:rsidRDefault="002D2529" w:rsidP="00EF3A7E">
            <w:pPr>
              <w:cnfStyle w:val="000000100000"/>
              <w:rPr>
                <w:sz w:val="24"/>
                <w:szCs w:val="24"/>
              </w:rPr>
            </w:pPr>
          </w:p>
        </w:tc>
      </w:tr>
      <w:tr w:rsidR="002D2529" w:rsidRPr="002D2529" w:rsidTr="00EF3A7E">
        <w:trPr>
          <w:trHeight w:val="294"/>
        </w:trPr>
        <w:tc>
          <w:tcPr>
            <w:cnfStyle w:val="001000000000"/>
            <w:tcW w:w="2718" w:type="dxa"/>
            <w:gridSpan w:val="2"/>
          </w:tcPr>
          <w:p w:rsidR="002D2529" w:rsidRPr="002D2529" w:rsidRDefault="002D2529" w:rsidP="00EF3A7E">
            <w:pPr>
              <w:rPr>
                <w:sz w:val="24"/>
                <w:szCs w:val="24"/>
              </w:rPr>
            </w:pPr>
            <w:r w:rsidRPr="002D2529">
              <w:rPr>
                <w:rFonts w:eastAsia="Calibri" w:cs="Arial"/>
                <w:color w:val="000000"/>
                <w:sz w:val="24"/>
                <w:szCs w:val="24"/>
              </w:rPr>
              <w:t>Head</w:t>
            </w:r>
          </w:p>
        </w:tc>
        <w:tc>
          <w:tcPr>
            <w:tcW w:w="5966" w:type="dxa"/>
            <w:gridSpan w:val="2"/>
          </w:tcPr>
          <w:p w:rsidR="002D2529" w:rsidRPr="002D2529" w:rsidRDefault="002D2529" w:rsidP="00EF3A7E">
            <w:pPr>
              <w:cnfStyle w:val="000000000000"/>
              <w:rPr>
                <w:sz w:val="24"/>
                <w:szCs w:val="24"/>
              </w:rPr>
            </w:pPr>
            <w:r>
              <w:rPr>
                <w:sz w:val="24"/>
                <w:szCs w:val="24"/>
              </w:rPr>
              <w:t>--------------------</w:t>
            </w:r>
          </w:p>
        </w:tc>
        <w:tc>
          <w:tcPr>
            <w:tcW w:w="2390" w:type="dxa"/>
            <w:vMerge/>
          </w:tcPr>
          <w:p w:rsidR="002D2529" w:rsidRPr="002D2529" w:rsidRDefault="002D2529" w:rsidP="00EF3A7E">
            <w:pPr>
              <w:cnfStyle w:val="000000000000"/>
              <w:rPr>
                <w:sz w:val="24"/>
                <w:szCs w:val="24"/>
              </w:rPr>
            </w:pPr>
          </w:p>
        </w:tc>
      </w:tr>
      <w:tr w:rsidR="002D2529" w:rsidRPr="002D2529" w:rsidTr="00EF3A7E">
        <w:trPr>
          <w:cnfStyle w:val="000000100000"/>
          <w:trHeight w:val="294"/>
        </w:trPr>
        <w:tc>
          <w:tcPr>
            <w:cnfStyle w:val="001000000000"/>
            <w:tcW w:w="2718" w:type="dxa"/>
            <w:gridSpan w:val="2"/>
          </w:tcPr>
          <w:p w:rsidR="002D2529" w:rsidRPr="002D2529" w:rsidRDefault="002D2529" w:rsidP="00EF3A7E">
            <w:pPr>
              <w:rPr>
                <w:sz w:val="24"/>
                <w:szCs w:val="24"/>
              </w:rPr>
            </w:pPr>
            <w:r w:rsidRPr="002D2529">
              <w:rPr>
                <w:rFonts w:eastAsia="Calibri" w:cs="Arial"/>
                <w:color w:val="000000"/>
                <w:sz w:val="24"/>
                <w:szCs w:val="24"/>
              </w:rPr>
              <w:t>Type</w:t>
            </w:r>
          </w:p>
        </w:tc>
        <w:tc>
          <w:tcPr>
            <w:tcW w:w="5966" w:type="dxa"/>
            <w:gridSpan w:val="2"/>
          </w:tcPr>
          <w:p w:rsidR="002D2529" w:rsidRPr="002D2529" w:rsidRDefault="002D2529" w:rsidP="00EF3A7E">
            <w:pPr>
              <w:cnfStyle w:val="000000100000"/>
              <w:rPr>
                <w:sz w:val="24"/>
                <w:szCs w:val="24"/>
              </w:rPr>
            </w:pPr>
            <w:r>
              <w:rPr>
                <w:sz w:val="24"/>
                <w:szCs w:val="24"/>
              </w:rPr>
              <w:t>Non-</w:t>
            </w:r>
            <w:proofErr w:type="spellStart"/>
            <w:r>
              <w:rPr>
                <w:sz w:val="24"/>
                <w:szCs w:val="24"/>
              </w:rPr>
              <w:t>Govermental</w:t>
            </w:r>
            <w:proofErr w:type="spellEnd"/>
          </w:p>
        </w:tc>
        <w:tc>
          <w:tcPr>
            <w:tcW w:w="2390" w:type="dxa"/>
            <w:vMerge/>
          </w:tcPr>
          <w:p w:rsidR="002D2529" w:rsidRPr="002D2529" w:rsidRDefault="002D2529" w:rsidP="00EF3A7E">
            <w:pPr>
              <w:cnfStyle w:val="000000100000"/>
              <w:rPr>
                <w:sz w:val="24"/>
                <w:szCs w:val="24"/>
              </w:rPr>
            </w:pPr>
          </w:p>
        </w:tc>
      </w:tr>
      <w:tr w:rsidR="002D2529" w:rsidRPr="002D2529" w:rsidTr="00EF3A7E">
        <w:trPr>
          <w:trHeight w:val="294"/>
        </w:trPr>
        <w:tc>
          <w:tcPr>
            <w:cnfStyle w:val="001000000000"/>
            <w:tcW w:w="2718" w:type="dxa"/>
            <w:gridSpan w:val="2"/>
          </w:tcPr>
          <w:p w:rsidR="002D2529" w:rsidRPr="002D2529" w:rsidRDefault="002D2529" w:rsidP="00EF3A7E">
            <w:pPr>
              <w:rPr>
                <w:sz w:val="24"/>
                <w:szCs w:val="24"/>
              </w:rPr>
            </w:pPr>
            <w:r w:rsidRPr="002D2529">
              <w:rPr>
                <w:rFonts w:eastAsia="Calibri" w:cs="Arial"/>
                <w:color w:val="000000"/>
                <w:sz w:val="24"/>
                <w:szCs w:val="24"/>
              </w:rPr>
              <w:t>Year of Establishment</w:t>
            </w:r>
          </w:p>
        </w:tc>
        <w:tc>
          <w:tcPr>
            <w:tcW w:w="5966" w:type="dxa"/>
            <w:gridSpan w:val="2"/>
          </w:tcPr>
          <w:p w:rsidR="002D2529" w:rsidRPr="002D2529" w:rsidRDefault="002D2529" w:rsidP="00EF3A7E">
            <w:pPr>
              <w:cnfStyle w:val="000000000000"/>
              <w:rPr>
                <w:sz w:val="24"/>
                <w:szCs w:val="24"/>
              </w:rPr>
            </w:pPr>
            <w:r w:rsidRPr="002D2529">
              <w:rPr>
                <w:sz w:val="24"/>
                <w:szCs w:val="24"/>
              </w:rPr>
              <w:t>1986</w:t>
            </w:r>
          </w:p>
        </w:tc>
        <w:tc>
          <w:tcPr>
            <w:tcW w:w="2390" w:type="dxa"/>
            <w:vMerge/>
          </w:tcPr>
          <w:p w:rsidR="002D2529" w:rsidRPr="002D2529" w:rsidRDefault="002D2529" w:rsidP="00EF3A7E">
            <w:pPr>
              <w:cnfStyle w:val="000000000000"/>
              <w:rPr>
                <w:sz w:val="24"/>
                <w:szCs w:val="24"/>
              </w:rPr>
            </w:pPr>
          </w:p>
        </w:tc>
      </w:tr>
      <w:tr w:rsidR="002D2529" w:rsidRPr="002D2529" w:rsidTr="00EF3A7E">
        <w:trPr>
          <w:cnfStyle w:val="000000100000"/>
          <w:trHeight w:val="294"/>
        </w:trPr>
        <w:tc>
          <w:tcPr>
            <w:cnfStyle w:val="001000000000"/>
            <w:tcW w:w="11074" w:type="dxa"/>
            <w:gridSpan w:val="5"/>
          </w:tcPr>
          <w:p w:rsidR="002D2529" w:rsidRPr="002D2529" w:rsidRDefault="002D2529" w:rsidP="00EF3A7E">
            <w:pPr>
              <w:rPr>
                <w:sz w:val="24"/>
                <w:szCs w:val="24"/>
              </w:rPr>
            </w:pPr>
          </w:p>
        </w:tc>
      </w:tr>
      <w:tr w:rsidR="002D2529" w:rsidRPr="002D2529" w:rsidTr="00EF3A7E">
        <w:trPr>
          <w:trHeight w:val="597"/>
        </w:trPr>
        <w:tc>
          <w:tcPr>
            <w:cnfStyle w:val="001000000000"/>
            <w:tcW w:w="1669" w:type="dxa"/>
          </w:tcPr>
          <w:p w:rsidR="002D2529" w:rsidRPr="002D2529" w:rsidRDefault="002D2529" w:rsidP="00EF3A7E">
            <w:pPr>
              <w:rPr>
                <w:sz w:val="24"/>
                <w:szCs w:val="24"/>
              </w:rPr>
            </w:pPr>
            <w:r w:rsidRPr="002D2529">
              <w:rPr>
                <w:rFonts w:eastAsia="Calibri" w:cs="Arial"/>
                <w:color w:val="000000"/>
                <w:sz w:val="24"/>
                <w:szCs w:val="24"/>
              </w:rPr>
              <w:t>Publications</w:t>
            </w:r>
          </w:p>
        </w:tc>
        <w:tc>
          <w:tcPr>
            <w:tcW w:w="9405" w:type="dxa"/>
            <w:gridSpan w:val="4"/>
          </w:tcPr>
          <w:p w:rsidR="002D2529" w:rsidRPr="002D2529" w:rsidRDefault="002D2529" w:rsidP="00EF3A7E">
            <w:pPr>
              <w:cnfStyle w:val="000000000000"/>
              <w:rPr>
                <w:sz w:val="24"/>
                <w:szCs w:val="24"/>
              </w:rPr>
            </w:pPr>
            <w:r w:rsidRPr="002D2529">
              <w:rPr>
                <w:sz w:val="24"/>
                <w:szCs w:val="24"/>
              </w:rPr>
              <w:t>----------------------------</w:t>
            </w:r>
          </w:p>
        </w:tc>
      </w:tr>
      <w:tr w:rsidR="002D2529" w:rsidRPr="002D2529" w:rsidTr="00EF3A7E">
        <w:trPr>
          <w:cnfStyle w:val="000000100000"/>
          <w:trHeight w:val="597"/>
        </w:trPr>
        <w:tc>
          <w:tcPr>
            <w:cnfStyle w:val="001000000000"/>
            <w:tcW w:w="1669" w:type="dxa"/>
          </w:tcPr>
          <w:p w:rsidR="002D2529" w:rsidRPr="002D2529" w:rsidRDefault="002D2529" w:rsidP="00EF3A7E">
            <w:pPr>
              <w:rPr>
                <w:sz w:val="24"/>
                <w:szCs w:val="24"/>
              </w:rPr>
            </w:pPr>
            <w:r w:rsidRPr="002D2529">
              <w:rPr>
                <w:rFonts w:eastAsia="Calibri" w:cs="Arial"/>
                <w:color w:val="000000"/>
                <w:sz w:val="24"/>
                <w:szCs w:val="24"/>
              </w:rPr>
              <w:t>Activities</w:t>
            </w:r>
          </w:p>
        </w:tc>
        <w:tc>
          <w:tcPr>
            <w:tcW w:w="9405" w:type="dxa"/>
            <w:gridSpan w:val="4"/>
          </w:tcPr>
          <w:p w:rsidR="002D2529" w:rsidRPr="002D2529" w:rsidRDefault="002D2529" w:rsidP="002D2529">
            <w:pPr>
              <w:cnfStyle w:val="000000100000"/>
              <w:rPr>
                <w:sz w:val="24"/>
                <w:szCs w:val="24"/>
              </w:rPr>
            </w:pPr>
            <w:r w:rsidRPr="002D2529">
              <w:rPr>
                <w:sz w:val="24"/>
                <w:szCs w:val="24"/>
              </w:rPr>
              <w:t xml:space="preserve">ASWJ also carries out a number of other community based projects. For over a decade the organization has been holding </w:t>
            </w:r>
            <w:proofErr w:type="spellStart"/>
            <w:r w:rsidRPr="002D2529">
              <w:rPr>
                <w:sz w:val="24"/>
                <w:szCs w:val="24"/>
              </w:rPr>
              <w:t>Eid</w:t>
            </w:r>
            <w:proofErr w:type="spellEnd"/>
            <w:r w:rsidRPr="002D2529">
              <w:rPr>
                <w:sz w:val="24"/>
                <w:szCs w:val="24"/>
              </w:rPr>
              <w:t xml:space="preserve"> prayers outdoors in accordance to the tradition of the Prophet. Last </w:t>
            </w:r>
            <w:proofErr w:type="spellStart"/>
            <w:r w:rsidRPr="002D2529">
              <w:rPr>
                <w:sz w:val="24"/>
                <w:szCs w:val="24"/>
              </w:rPr>
              <w:t>Eid</w:t>
            </w:r>
            <w:proofErr w:type="spellEnd"/>
            <w:r w:rsidRPr="002D2529">
              <w:rPr>
                <w:sz w:val="24"/>
                <w:szCs w:val="24"/>
              </w:rPr>
              <w:t xml:space="preserve"> the prayer in NSW was held in Olympic Park in </w:t>
            </w:r>
            <w:proofErr w:type="spellStart"/>
            <w:r w:rsidRPr="002D2529">
              <w:rPr>
                <w:sz w:val="24"/>
                <w:szCs w:val="24"/>
              </w:rPr>
              <w:t>Homebush</w:t>
            </w:r>
            <w:proofErr w:type="spellEnd"/>
            <w:r w:rsidRPr="002D2529">
              <w:rPr>
                <w:sz w:val="24"/>
                <w:szCs w:val="24"/>
              </w:rPr>
              <w:t xml:space="preserve"> bay, the congregation exceeded a staggering 5000 people. </w:t>
            </w:r>
            <w:proofErr w:type="spellStart"/>
            <w:r w:rsidRPr="002D2529">
              <w:rPr>
                <w:sz w:val="24"/>
                <w:szCs w:val="24"/>
              </w:rPr>
              <w:t>Eid</w:t>
            </w:r>
            <w:proofErr w:type="spellEnd"/>
            <w:r w:rsidRPr="002D2529">
              <w:rPr>
                <w:sz w:val="24"/>
                <w:szCs w:val="24"/>
              </w:rPr>
              <w:t xml:space="preserve"> prayers in Victoria and WA easily attract over a thousand worshippers.</w:t>
            </w:r>
          </w:p>
          <w:p w:rsidR="002D2529" w:rsidRPr="002D2529" w:rsidRDefault="002D2529" w:rsidP="002D2529">
            <w:pPr>
              <w:cnfStyle w:val="000000100000"/>
              <w:rPr>
                <w:sz w:val="24"/>
                <w:szCs w:val="24"/>
              </w:rPr>
            </w:pPr>
            <w:r w:rsidRPr="002D2529">
              <w:rPr>
                <w:sz w:val="24"/>
                <w:szCs w:val="24"/>
              </w:rPr>
              <w:t>Yearly Hajj groups are also organized by ASWJ. The campaign has been ongoing for the last 13 years and is well known to be amongst the best Hajj groups in Australia.</w:t>
            </w:r>
            <w:r w:rsidRPr="002D2529">
              <w:rPr>
                <w:sz w:val="24"/>
                <w:szCs w:val="24"/>
              </w:rPr>
              <w:br/>
              <w:t xml:space="preserve">Other community projects include the sponsorship and support of Orphans and widows, yearly </w:t>
            </w:r>
            <w:proofErr w:type="spellStart"/>
            <w:r w:rsidRPr="002D2529">
              <w:rPr>
                <w:sz w:val="24"/>
                <w:szCs w:val="24"/>
              </w:rPr>
              <w:t>Qurban</w:t>
            </w:r>
            <w:proofErr w:type="spellEnd"/>
            <w:r w:rsidRPr="002D2529">
              <w:rPr>
                <w:sz w:val="24"/>
                <w:szCs w:val="24"/>
              </w:rPr>
              <w:t xml:space="preserve"> project, </w:t>
            </w:r>
            <w:proofErr w:type="spellStart"/>
            <w:r w:rsidRPr="002D2529">
              <w:rPr>
                <w:sz w:val="24"/>
                <w:szCs w:val="24"/>
              </w:rPr>
              <w:t>Qur’anic</w:t>
            </w:r>
            <w:proofErr w:type="spellEnd"/>
            <w:r w:rsidRPr="002D2529">
              <w:rPr>
                <w:sz w:val="24"/>
                <w:szCs w:val="24"/>
              </w:rPr>
              <w:t xml:space="preserve"> competitions, yearly camps, monthly family picnics, and a host of sporting activities.</w:t>
            </w:r>
          </w:p>
          <w:p w:rsidR="002D2529" w:rsidRPr="002D2529" w:rsidRDefault="002D2529" w:rsidP="002D2529">
            <w:pPr>
              <w:cnfStyle w:val="000000100000"/>
              <w:rPr>
                <w:sz w:val="24"/>
                <w:szCs w:val="24"/>
              </w:rPr>
            </w:pPr>
            <w:r w:rsidRPr="002D2529">
              <w:rPr>
                <w:sz w:val="24"/>
                <w:szCs w:val="24"/>
              </w:rPr>
              <w:t>ASWJ has gained a lot of trust and respect from the community due to its firm adherence to the principles of Islam and its freedom from external political interference. It is an independent body free from any governmental influence both financially and ideologically. It is this ‘no strings attached’ policy that has allowed the Sheikhs of ASWJ to speak with a sense of freedom not shared by many other organizations.</w:t>
            </w:r>
          </w:p>
          <w:p w:rsidR="002D2529" w:rsidRPr="002D2529" w:rsidRDefault="002D2529" w:rsidP="00EF3A7E">
            <w:pPr>
              <w:cnfStyle w:val="000000100000"/>
              <w:rPr>
                <w:sz w:val="24"/>
                <w:szCs w:val="24"/>
              </w:rPr>
            </w:pPr>
          </w:p>
        </w:tc>
      </w:tr>
      <w:tr w:rsidR="002D2529" w:rsidRPr="002D2529" w:rsidTr="00EF3A7E">
        <w:trPr>
          <w:trHeight w:val="597"/>
        </w:trPr>
        <w:tc>
          <w:tcPr>
            <w:cnfStyle w:val="001000000000"/>
            <w:tcW w:w="1669" w:type="dxa"/>
          </w:tcPr>
          <w:p w:rsidR="002D2529" w:rsidRPr="002D2529" w:rsidRDefault="002D2529" w:rsidP="00EF3A7E">
            <w:pPr>
              <w:rPr>
                <w:rFonts w:eastAsia="Calibri" w:cs="Arial"/>
                <w:color w:val="000000"/>
                <w:sz w:val="24"/>
                <w:szCs w:val="24"/>
              </w:rPr>
            </w:pPr>
            <w:r w:rsidRPr="002D2529">
              <w:rPr>
                <w:sz w:val="24"/>
                <w:szCs w:val="24"/>
              </w:rPr>
              <w:t>Main disciplines</w:t>
            </w:r>
          </w:p>
        </w:tc>
        <w:tc>
          <w:tcPr>
            <w:tcW w:w="9405" w:type="dxa"/>
            <w:gridSpan w:val="4"/>
          </w:tcPr>
          <w:p w:rsidR="002D2529" w:rsidRPr="002D2529" w:rsidRDefault="002D2529" w:rsidP="002D2529">
            <w:pPr>
              <w:cnfStyle w:val="000000000000"/>
              <w:rPr>
                <w:rFonts w:cs="Arial"/>
                <w:color w:val="000000"/>
                <w:sz w:val="24"/>
                <w:szCs w:val="24"/>
              </w:rPr>
            </w:pPr>
            <w:r w:rsidRPr="002D2529">
              <w:rPr>
                <w:rFonts w:cs="Arial"/>
                <w:color w:val="000000"/>
                <w:sz w:val="24"/>
                <w:szCs w:val="24"/>
              </w:rPr>
              <w:t xml:space="preserve">The term </w:t>
            </w:r>
            <w:proofErr w:type="spellStart"/>
            <w:r w:rsidRPr="002D2529">
              <w:rPr>
                <w:rFonts w:cs="Arial"/>
                <w:color w:val="000000"/>
                <w:sz w:val="24"/>
                <w:szCs w:val="24"/>
              </w:rPr>
              <w:t>Ahlus</w:t>
            </w:r>
            <w:proofErr w:type="spellEnd"/>
            <w:r w:rsidRPr="002D2529">
              <w:rPr>
                <w:rFonts w:cs="Arial"/>
                <w:color w:val="000000"/>
                <w:sz w:val="24"/>
                <w:szCs w:val="24"/>
              </w:rPr>
              <w:t xml:space="preserve"> </w:t>
            </w:r>
            <w:proofErr w:type="spellStart"/>
            <w:r w:rsidRPr="002D2529">
              <w:rPr>
                <w:rFonts w:cs="Arial"/>
                <w:color w:val="000000"/>
                <w:sz w:val="24"/>
                <w:szCs w:val="24"/>
              </w:rPr>
              <w:t>Sunnah</w:t>
            </w:r>
            <w:proofErr w:type="spellEnd"/>
            <w:r w:rsidRPr="002D2529">
              <w:rPr>
                <w:rFonts w:cs="Arial"/>
                <w:color w:val="000000"/>
                <w:sz w:val="24"/>
                <w:szCs w:val="24"/>
              </w:rPr>
              <w:t xml:space="preserve"> </w:t>
            </w:r>
            <w:proofErr w:type="spellStart"/>
            <w:r w:rsidRPr="002D2529">
              <w:rPr>
                <w:rFonts w:cs="Arial"/>
                <w:color w:val="000000"/>
                <w:sz w:val="24"/>
                <w:szCs w:val="24"/>
              </w:rPr>
              <w:t>wal</w:t>
            </w:r>
            <w:proofErr w:type="spellEnd"/>
            <w:r w:rsidRPr="002D2529">
              <w:rPr>
                <w:rFonts w:cs="Arial"/>
                <w:color w:val="000000"/>
                <w:sz w:val="24"/>
                <w:szCs w:val="24"/>
              </w:rPr>
              <w:t xml:space="preserve"> </w:t>
            </w:r>
            <w:proofErr w:type="spellStart"/>
            <w:r w:rsidRPr="002D2529">
              <w:rPr>
                <w:rFonts w:cs="Arial"/>
                <w:color w:val="000000"/>
                <w:sz w:val="24"/>
                <w:szCs w:val="24"/>
              </w:rPr>
              <w:t>Jama’ah</w:t>
            </w:r>
            <w:proofErr w:type="spellEnd"/>
            <w:r w:rsidRPr="002D2529">
              <w:rPr>
                <w:rFonts w:cs="Arial"/>
                <w:color w:val="000000"/>
                <w:sz w:val="24"/>
                <w:szCs w:val="24"/>
              </w:rPr>
              <w:t xml:space="preserve"> (People of the </w:t>
            </w:r>
            <w:proofErr w:type="spellStart"/>
            <w:r w:rsidRPr="002D2529">
              <w:rPr>
                <w:rFonts w:cs="Arial"/>
                <w:color w:val="000000"/>
                <w:sz w:val="24"/>
                <w:szCs w:val="24"/>
              </w:rPr>
              <w:t>Sunnah</w:t>
            </w:r>
            <w:proofErr w:type="spellEnd"/>
            <w:r w:rsidRPr="002D2529">
              <w:rPr>
                <w:rFonts w:cs="Arial"/>
                <w:color w:val="000000"/>
                <w:sz w:val="24"/>
                <w:szCs w:val="24"/>
              </w:rPr>
              <w:t xml:space="preserve"> and the mainstream) can be traced back to the famous companions of the Prophet (peace be upon him), </w:t>
            </w:r>
            <w:proofErr w:type="spellStart"/>
            <w:r w:rsidRPr="002D2529">
              <w:rPr>
                <w:rFonts w:cs="Arial"/>
                <w:color w:val="000000"/>
                <w:sz w:val="24"/>
                <w:szCs w:val="24"/>
              </w:rPr>
              <w:t>Abdullaah</w:t>
            </w:r>
            <w:proofErr w:type="spellEnd"/>
            <w:r w:rsidRPr="002D2529">
              <w:rPr>
                <w:rFonts w:cs="Arial"/>
                <w:color w:val="000000"/>
                <w:sz w:val="24"/>
                <w:szCs w:val="24"/>
              </w:rPr>
              <w:t xml:space="preserve"> </w:t>
            </w:r>
            <w:proofErr w:type="spellStart"/>
            <w:r w:rsidRPr="002D2529">
              <w:rPr>
                <w:rFonts w:cs="Arial"/>
                <w:color w:val="000000"/>
                <w:sz w:val="24"/>
                <w:szCs w:val="24"/>
              </w:rPr>
              <w:t>ibn</w:t>
            </w:r>
            <w:proofErr w:type="spellEnd"/>
            <w:r w:rsidRPr="002D2529">
              <w:rPr>
                <w:rFonts w:cs="Arial"/>
                <w:color w:val="000000"/>
                <w:sz w:val="24"/>
                <w:szCs w:val="24"/>
              </w:rPr>
              <w:t xml:space="preserve"> </w:t>
            </w:r>
            <w:proofErr w:type="spellStart"/>
            <w:r w:rsidRPr="002D2529">
              <w:rPr>
                <w:rFonts w:cs="Arial"/>
                <w:color w:val="000000"/>
                <w:sz w:val="24"/>
                <w:szCs w:val="24"/>
              </w:rPr>
              <w:t>Mas’ood</w:t>
            </w:r>
            <w:proofErr w:type="spellEnd"/>
            <w:r w:rsidRPr="002D2529">
              <w:rPr>
                <w:rFonts w:cs="Arial"/>
                <w:color w:val="000000"/>
                <w:sz w:val="24"/>
                <w:szCs w:val="24"/>
              </w:rPr>
              <w:t xml:space="preserve"> and </w:t>
            </w:r>
            <w:proofErr w:type="spellStart"/>
            <w:r w:rsidRPr="002D2529">
              <w:rPr>
                <w:rFonts w:cs="Arial"/>
                <w:color w:val="000000"/>
                <w:sz w:val="24"/>
                <w:szCs w:val="24"/>
              </w:rPr>
              <w:t>Abdullaah</w:t>
            </w:r>
            <w:proofErr w:type="spellEnd"/>
            <w:r w:rsidRPr="002D2529">
              <w:rPr>
                <w:rFonts w:cs="Arial"/>
                <w:color w:val="000000"/>
                <w:sz w:val="24"/>
                <w:szCs w:val="24"/>
              </w:rPr>
              <w:t xml:space="preserve"> </w:t>
            </w:r>
            <w:proofErr w:type="spellStart"/>
            <w:r w:rsidRPr="002D2529">
              <w:rPr>
                <w:rFonts w:cs="Arial"/>
                <w:color w:val="000000"/>
                <w:sz w:val="24"/>
                <w:szCs w:val="24"/>
              </w:rPr>
              <w:t>ibn</w:t>
            </w:r>
            <w:proofErr w:type="spellEnd"/>
            <w:r w:rsidRPr="002D2529">
              <w:rPr>
                <w:rFonts w:cs="Arial"/>
                <w:color w:val="000000"/>
                <w:sz w:val="24"/>
                <w:szCs w:val="24"/>
              </w:rPr>
              <w:t xml:space="preserve"> </w:t>
            </w:r>
            <w:proofErr w:type="spellStart"/>
            <w:r w:rsidRPr="002D2529">
              <w:rPr>
                <w:rFonts w:cs="Arial"/>
                <w:color w:val="000000"/>
                <w:sz w:val="24"/>
                <w:szCs w:val="24"/>
              </w:rPr>
              <w:t>Abbas</w:t>
            </w:r>
            <w:proofErr w:type="spellEnd"/>
            <w:r w:rsidRPr="002D2529">
              <w:rPr>
                <w:rFonts w:cs="Arial"/>
                <w:color w:val="000000"/>
                <w:sz w:val="24"/>
                <w:szCs w:val="24"/>
              </w:rPr>
              <w:t xml:space="preserve"> (may Allah be pleased with them). </w:t>
            </w:r>
            <w:proofErr w:type="spellStart"/>
            <w:r w:rsidRPr="002D2529">
              <w:rPr>
                <w:rFonts w:cs="Arial"/>
                <w:color w:val="000000"/>
                <w:sz w:val="24"/>
                <w:szCs w:val="24"/>
              </w:rPr>
              <w:t>Ibn</w:t>
            </w:r>
            <w:proofErr w:type="spellEnd"/>
            <w:r w:rsidRPr="002D2529">
              <w:rPr>
                <w:rFonts w:cs="Arial"/>
                <w:color w:val="000000"/>
                <w:sz w:val="24"/>
                <w:szCs w:val="24"/>
              </w:rPr>
              <w:t xml:space="preserve"> </w:t>
            </w:r>
            <w:proofErr w:type="spellStart"/>
            <w:r w:rsidRPr="002D2529">
              <w:rPr>
                <w:rFonts w:cs="Arial"/>
                <w:color w:val="000000"/>
                <w:sz w:val="24"/>
                <w:szCs w:val="24"/>
              </w:rPr>
              <w:t>Mas’ood</w:t>
            </w:r>
            <w:proofErr w:type="spellEnd"/>
            <w:r w:rsidRPr="002D2529">
              <w:rPr>
                <w:rFonts w:cs="Arial"/>
                <w:color w:val="000000"/>
                <w:sz w:val="24"/>
                <w:szCs w:val="24"/>
              </w:rPr>
              <w:t xml:space="preserve"> commenting on the verse in the Qur’an in </w:t>
            </w:r>
            <w:proofErr w:type="spellStart"/>
            <w:r w:rsidRPr="002D2529">
              <w:rPr>
                <w:rFonts w:cs="Arial"/>
                <w:color w:val="000000"/>
                <w:sz w:val="24"/>
                <w:szCs w:val="24"/>
              </w:rPr>
              <w:t>surah</w:t>
            </w:r>
            <w:proofErr w:type="spellEnd"/>
            <w:r w:rsidRPr="002D2529">
              <w:rPr>
                <w:rFonts w:cs="Arial"/>
                <w:color w:val="000000"/>
                <w:sz w:val="24"/>
                <w:szCs w:val="24"/>
              </w:rPr>
              <w:t xml:space="preserve"> </w:t>
            </w:r>
            <w:proofErr w:type="spellStart"/>
            <w:r w:rsidRPr="002D2529">
              <w:rPr>
                <w:rFonts w:cs="Arial"/>
                <w:color w:val="000000"/>
                <w:sz w:val="24"/>
                <w:szCs w:val="24"/>
              </w:rPr>
              <w:t>A’-Imraan</w:t>
            </w:r>
            <w:proofErr w:type="spellEnd"/>
            <w:r w:rsidRPr="002D2529">
              <w:rPr>
                <w:rFonts w:cs="Arial"/>
                <w:color w:val="000000"/>
                <w:sz w:val="24"/>
                <w:szCs w:val="24"/>
              </w:rPr>
              <w:t xml:space="preserve"> (which means);</w:t>
            </w:r>
          </w:p>
          <w:p w:rsidR="002D2529" w:rsidRPr="002D2529" w:rsidRDefault="002D2529" w:rsidP="002D2529">
            <w:pPr>
              <w:cnfStyle w:val="000000000000"/>
              <w:rPr>
                <w:rFonts w:cs="Arial"/>
                <w:color w:val="000000"/>
                <w:sz w:val="24"/>
                <w:szCs w:val="24"/>
              </w:rPr>
            </w:pPr>
            <w:r w:rsidRPr="002D2529">
              <w:rPr>
                <w:rFonts w:cs="Arial"/>
                <w:color w:val="000000"/>
                <w:sz w:val="24"/>
                <w:szCs w:val="24"/>
              </w:rPr>
              <w:t>“</w:t>
            </w:r>
            <w:r w:rsidRPr="002D2529">
              <w:rPr>
                <w:rFonts w:cs="Arial"/>
                <w:i/>
                <w:iCs/>
                <w:color w:val="000000"/>
                <w:sz w:val="24"/>
                <w:szCs w:val="24"/>
              </w:rPr>
              <w:t>And hold fast, all of you together, to the Rope of Allah, and be not divided among yourselves.</w:t>
            </w:r>
            <w:r w:rsidRPr="002D2529">
              <w:rPr>
                <w:rFonts w:cs="Arial"/>
                <w:color w:val="000000"/>
                <w:sz w:val="24"/>
                <w:szCs w:val="24"/>
              </w:rPr>
              <w:t>” (3:103)</w:t>
            </w:r>
          </w:p>
          <w:p w:rsidR="002D2529" w:rsidRPr="002D2529" w:rsidRDefault="002D2529" w:rsidP="002D2529">
            <w:pPr>
              <w:cnfStyle w:val="000000000000"/>
              <w:rPr>
                <w:rFonts w:cs="Arial"/>
                <w:color w:val="000000"/>
                <w:sz w:val="24"/>
                <w:szCs w:val="24"/>
              </w:rPr>
            </w:pPr>
            <w:proofErr w:type="gramStart"/>
            <w:r w:rsidRPr="002D2529">
              <w:rPr>
                <w:rFonts w:cs="Arial"/>
                <w:color w:val="000000"/>
                <w:sz w:val="24"/>
                <w:szCs w:val="24"/>
              </w:rPr>
              <w:t>explained</w:t>
            </w:r>
            <w:proofErr w:type="gramEnd"/>
            <w:r w:rsidRPr="002D2529">
              <w:rPr>
                <w:rFonts w:cs="Arial"/>
                <w:color w:val="000000"/>
                <w:sz w:val="24"/>
                <w:szCs w:val="24"/>
              </w:rPr>
              <w:t xml:space="preserve"> that the rope mentioned in the verse was the </w:t>
            </w:r>
            <w:proofErr w:type="spellStart"/>
            <w:r w:rsidRPr="002D2529">
              <w:rPr>
                <w:rFonts w:cs="Arial"/>
                <w:color w:val="000000"/>
                <w:sz w:val="24"/>
                <w:szCs w:val="24"/>
              </w:rPr>
              <w:t>Jama’ah</w:t>
            </w:r>
            <w:proofErr w:type="spellEnd"/>
            <w:r w:rsidRPr="002D2529">
              <w:rPr>
                <w:rFonts w:cs="Arial"/>
                <w:color w:val="000000"/>
                <w:sz w:val="24"/>
                <w:szCs w:val="24"/>
              </w:rPr>
              <w:t xml:space="preserve">. The derivation of </w:t>
            </w:r>
            <w:proofErr w:type="spellStart"/>
            <w:r w:rsidRPr="002D2529">
              <w:rPr>
                <w:rFonts w:cs="Arial"/>
                <w:color w:val="000000"/>
                <w:sz w:val="24"/>
                <w:szCs w:val="24"/>
              </w:rPr>
              <w:t>Ahlus</w:t>
            </w:r>
            <w:proofErr w:type="spellEnd"/>
            <w:r w:rsidRPr="002D2529">
              <w:rPr>
                <w:rFonts w:cs="Arial"/>
                <w:color w:val="000000"/>
                <w:sz w:val="24"/>
                <w:szCs w:val="24"/>
              </w:rPr>
              <w:t xml:space="preserve"> </w:t>
            </w:r>
            <w:proofErr w:type="spellStart"/>
            <w:r w:rsidRPr="002D2529">
              <w:rPr>
                <w:rFonts w:cs="Arial"/>
                <w:color w:val="000000"/>
                <w:sz w:val="24"/>
                <w:szCs w:val="24"/>
              </w:rPr>
              <w:t>Sunnah</w:t>
            </w:r>
            <w:proofErr w:type="spellEnd"/>
            <w:r w:rsidRPr="002D2529">
              <w:rPr>
                <w:rFonts w:cs="Arial"/>
                <w:color w:val="000000"/>
                <w:sz w:val="24"/>
                <w:szCs w:val="24"/>
              </w:rPr>
              <w:t xml:space="preserve"> can be made from the following verse, also in Al’ </w:t>
            </w:r>
            <w:proofErr w:type="spellStart"/>
            <w:r w:rsidRPr="002D2529">
              <w:rPr>
                <w:rFonts w:cs="Arial"/>
                <w:color w:val="000000"/>
                <w:sz w:val="24"/>
                <w:szCs w:val="24"/>
              </w:rPr>
              <w:t>Imraan</w:t>
            </w:r>
            <w:proofErr w:type="spellEnd"/>
            <w:r w:rsidRPr="002D2529">
              <w:rPr>
                <w:rFonts w:cs="Arial"/>
                <w:color w:val="000000"/>
                <w:sz w:val="24"/>
                <w:szCs w:val="24"/>
              </w:rPr>
              <w:t>:</w:t>
            </w:r>
          </w:p>
          <w:p w:rsidR="002D2529" w:rsidRPr="002D2529" w:rsidRDefault="002D2529" w:rsidP="002D2529">
            <w:pPr>
              <w:cnfStyle w:val="000000000000"/>
              <w:rPr>
                <w:rFonts w:cs="Arial"/>
                <w:color w:val="000000"/>
                <w:sz w:val="24"/>
                <w:szCs w:val="24"/>
              </w:rPr>
            </w:pPr>
            <w:r w:rsidRPr="002D2529">
              <w:rPr>
                <w:rFonts w:cs="Arial"/>
                <w:color w:val="000000"/>
                <w:sz w:val="24"/>
                <w:szCs w:val="24"/>
              </w:rPr>
              <w:t>“</w:t>
            </w:r>
            <w:r w:rsidRPr="002D2529">
              <w:rPr>
                <w:rFonts w:cs="Arial"/>
                <w:i/>
                <w:iCs/>
                <w:color w:val="000000"/>
                <w:sz w:val="24"/>
                <w:szCs w:val="24"/>
              </w:rPr>
              <w:t>On the Day (of Resurrection) when some faces will become white and some faces will become black</w:t>
            </w:r>
            <w:r w:rsidRPr="002D2529">
              <w:rPr>
                <w:rFonts w:cs="Arial"/>
                <w:color w:val="000000"/>
                <w:sz w:val="24"/>
                <w:szCs w:val="24"/>
              </w:rPr>
              <w:t>.” (3:106)</w:t>
            </w:r>
          </w:p>
          <w:p w:rsidR="002D2529" w:rsidRPr="002D2529" w:rsidRDefault="002D2529" w:rsidP="002D2529">
            <w:pPr>
              <w:cnfStyle w:val="000000000000"/>
              <w:rPr>
                <w:rFonts w:cs="Arial"/>
                <w:color w:val="000000"/>
                <w:sz w:val="24"/>
                <w:szCs w:val="24"/>
              </w:rPr>
            </w:pPr>
            <w:proofErr w:type="spellStart"/>
            <w:r w:rsidRPr="002D2529">
              <w:rPr>
                <w:rFonts w:cs="Arial"/>
                <w:color w:val="000000"/>
                <w:sz w:val="24"/>
                <w:szCs w:val="24"/>
              </w:rPr>
              <w:t>Ibn</w:t>
            </w:r>
            <w:proofErr w:type="spellEnd"/>
            <w:r w:rsidRPr="002D2529">
              <w:rPr>
                <w:rFonts w:cs="Arial"/>
                <w:color w:val="000000"/>
                <w:sz w:val="24"/>
                <w:szCs w:val="24"/>
              </w:rPr>
              <w:t xml:space="preserve"> </w:t>
            </w:r>
            <w:proofErr w:type="spellStart"/>
            <w:r w:rsidRPr="002D2529">
              <w:rPr>
                <w:rFonts w:cs="Arial"/>
                <w:color w:val="000000"/>
                <w:sz w:val="24"/>
                <w:szCs w:val="24"/>
              </w:rPr>
              <w:t>Abbas</w:t>
            </w:r>
            <w:proofErr w:type="spellEnd"/>
            <w:r w:rsidRPr="002D2529">
              <w:rPr>
                <w:rFonts w:cs="Arial"/>
                <w:color w:val="000000"/>
                <w:sz w:val="24"/>
                <w:szCs w:val="24"/>
              </w:rPr>
              <w:t xml:space="preserve"> commented on this verse thus forth, ‘followers of the </w:t>
            </w:r>
            <w:proofErr w:type="spellStart"/>
            <w:r w:rsidRPr="002D2529">
              <w:rPr>
                <w:rFonts w:cs="Arial"/>
                <w:color w:val="000000"/>
                <w:sz w:val="24"/>
                <w:szCs w:val="24"/>
              </w:rPr>
              <w:t>Sunnah</w:t>
            </w:r>
            <w:proofErr w:type="spellEnd"/>
            <w:r w:rsidRPr="002D2529">
              <w:rPr>
                <w:rFonts w:cs="Arial"/>
                <w:color w:val="000000"/>
                <w:sz w:val="24"/>
                <w:szCs w:val="24"/>
              </w:rPr>
              <w:t xml:space="preserve"> and the </w:t>
            </w:r>
            <w:proofErr w:type="spellStart"/>
            <w:r w:rsidRPr="002D2529">
              <w:rPr>
                <w:rFonts w:cs="Arial"/>
                <w:color w:val="000000"/>
                <w:sz w:val="24"/>
                <w:szCs w:val="24"/>
              </w:rPr>
              <w:t>Jama`ah</w:t>
            </w:r>
            <w:proofErr w:type="spellEnd"/>
            <w:r w:rsidRPr="002D2529">
              <w:rPr>
                <w:rFonts w:cs="Arial"/>
                <w:color w:val="000000"/>
                <w:sz w:val="24"/>
                <w:szCs w:val="24"/>
              </w:rPr>
              <w:t xml:space="preserve"> will radiate with whiteness’.</w:t>
            </w:r>
          </w:p>
          <w:p w:rsidR="002D2529" w:rsidRPr="002D2529" w:rsidRDefault="002D2529" w:rsidP="002D2529">
            <w:pPr>
              <w:cnfStyle w:val="000000000000"/>
              <w:rPr>
                <w:rFonts w:cs="Arial"/>
                <w:color w:val="000000"/>
                <w:sz w:val="24"/>
                <w:szCs w:val="24"/>
              </w:rPr>
            </w:pPr>
            <w:proofErr w:type="spellStart"/>
            <w:r w:rsidRPr="002D2529">
              <w:rPr>
                <w:rFonts w:cs="Arial"/>
                <w:color w:val="000000"/>
                <w:sz w:val="24"/>
                <w:szCs w:val="24"/>
              </w:rPr>
              <w:t>Shaykh</w:t>
            </w:r>
            <w:proofErr w:type="spellEnd"/>
            <w:r w:rsidRPr="002D2529">
              <w:rPr>
                <w:rFonts w:cs="Arial"/>
                <w:color w:val="000000"/>
                <w:sz w:val="24"/>
                <w:szCs w:val="24"/>
              </w:rPr>
              <w:t xml:space="preserve"> Muhammad </w:t>
            </w:r>
            <w:proofErr w:type="spellStart"/>
            <w:r w:rsidRPr="002D2529">
              <w:rPr>
                <w:rFonts w:cs="Arial"/>
                <w:color w:val="000000"/>
                <w:sz w:val="24"/>
                <w:szCs w:val="24"/>
              </w:rPr>
              <w:t>ibn</w:t>
            </w:r>
            <w:proofErr w:type="spellEnd"/>
            <w:r w:rsidRPr="002D2529">
              <w:rPr>
                <w:rFonts w:cs="Arial"/>
                <w:color w:val="000000"/>
                <w:sz w:val="24"/>
                <w:szCs w:val="24"/>
              </w:rPr>
              <w:t xml:space="preserve"> </w:t>
            </w:r>
            <w:proofErr w:type="spellStart"/>
            <w:r w:rsidRPr="002D2529">
              <w:rPr>
                <w:rFonts w:cs="Arial"/>
                <w:color w:val="000000"/>
                <w:sz w:val="24"/>
                <w:szCs w:val="24"/>
              </w:rPr>
              <w:t>Saalih</w:t>
            </w:r>
            <w:proofErr w:type="spellEnd"/>
            <w:r w:rsidRPr="002D2529">
              <w:rPr>
                <w:rFonts w:cs="Arial"/>
                <w:color w:val="000000"/>
                <w:sz w:val="24"/>
                <w:szCs w:val="24"/>
              </w:rPr>
              <w:t xml:space="preserve"> al-‘</w:t>
            </w:r>
            <w:proofErr w:type="spellStart"/>
            <w:r w:rsidRPr="002D2529">
              <w:rPr>
                <w:rFonts w:cs="Arial"/>
                <w:color w:val="000000"/>
                <w:sz w:val="24"/>
                <w:szCs w:val="24"/>
              </w:rPr>
              <w:t>Uthaymeen</w:t>
            </w:r>
            <w:proofErr w:type="spellEnd"/>
            <w:r w:rsidRPr="002D2529">
              <w:rPr>
                <w:rFonts w:cs="Arial"/>
                <w:color w:val="000000"/>
                <w:sz w:val="24"/>
                <w:szCs w:val="24"/>
              </w:rPr>
              <w:t xml:space="preserve"> summarized </w:t>
            </w:r>
            <w:proofErr w:type="spellStart"/>
            <w:r w:rsidRPr="002D2529">
              <w:rPr>
                <w:rFonts w:cs="Arial"/>
                <w:color w:val="000000"/>
                <w:sz w:val="24"/>
                <w:szCs w:val="24"/>
              </w:rPr>
              <w:t>Ahlus-Sunnah</w:t>
            </w:r>
            <w:proofErr w:type="spellEnd"/>
            <w:r w:rsidRPr="002D2529">
              <w:rPr>
                <w:rFonts w:cs="Arial"/>
                <w:color w:val="000000"/>
                <w:sz w:val="24"/>
                <w:szCs w:val="24"/>
              </w:rPr>
              <w:t xml:space="preserve"> </w:t>
            </w:r>
            <w:proofErr w:type="spellStart"/>
            <w:r w:rsidRPr="002D2529">
              <w:rPr>
                <w:rFonts w:cs="Arial"/>
                <w:color w:val="000000"/>
                <w:sz w:val="24"/>
                <w:szCs w:val="24"/>
              </w:rPr>
              <w:t>wa’l-Jamaa’ah</w:t>
            </w:r>
            <w:proofErr w:type="spellEnd"/>
            <w:r w:rsidRPr="002D2529">
              <w:rPr>
                <w:rFonts w:cs="Arial"/>
                <w:color w:val="000000"/>
                <w:sz w:val="24"/>
                <w:szCs w:val="24"/>
              </w:rPr>
              <w:t xml:space="preserve"> as </w:t>
            </w:r>
            <w:r w:rsidRPr="002D2529">
              <w:rPr>
                <w:rFonts w:cs="Arial"/>
                <w:color w:val="000000"/>
                <w:sz w:val="24"/>
                <w:szCs w:val="24"/>
              </w:rPr>
              <w:lastRenderedPageBreak/>
              <w:t xml:space="preserve">‘those who adhere to the </w:t>
            </w:r>
            <w:proofErr w:type="spellStart"/>
            <w:r w:rsidRPr="002D2529">
              <w:rPr>
                <w:rFonts w:cs="Arial"/>
                <w:color w:val="000000"/>
                <w:sz w:val="24"/>
                <w:szCs w:val="24"/>
              </w:rPr>
              <w:t>Sunnah</w:t>
            </w:r>
            <w:proofErr w:type="spellEnd"/>
            <w:r w:rsidRPr="002D2529">
              <w:rPr>
                <w:rFonts w:cs="Arial"/>
                <w:color w:val="000000"/>
                <w:sz w:val="24"/>
                <w:szCs w:val="24"/>
              </w:rPr>
              <w:t xml:space="preserve"> and who unite upon it, not turning to anything else, whether that be in matters of belief or matters of actions which are subject to Islamic rulings. Hence they are called </w:t>
            </w:r>
            <w:proofErr w:type="spellStart"/>
            <w:r w:rsidRPr="002D2529">
              <w:rPr>
                <w:rFonts w:cs="Arial"/>
                <w:color w:val="000000"/>
                <w:sz w:val="24"/>
                <w:szCs w:val="24"/>
              </w:rPr>
              <w:t>Ahlus</w:t>
            </w:r>
            <w:proofErr w:type="spellEnd"/>
            <w:r w:rsidRPr="002D2529">
              <w:rPr>
                <w:rFonts w:cs="Arial"/>
                <w:color w:val="000000"/>
                <w:sz w:val="24"/>
                <w:szCs w:val="24"/>
              </w:rPr>
              <w:t xml:space="preserve"> </w:t>
            </w:r>
            <w:proofErr w:type="spellStart"/>
            <w:r w:rsidRPr="002D2529">
              <w:rPr>
                <w:rFonts w:cs="Arial"/>
                <w:color w:val="000000"/>
                <w:sz w:val="24"/>
                <w:szCs w:val="24"/>
              </w:rPr>
              <w:t>Sunnah</w:t>
            </w:r>
            <w:proofErr w:type="spellEnd"/>
            <w:r w:rsidRPr="002D2529">
              <w:rPr>
                <w:rFonts w:cs="Arial"/>
                <w:color w:val="000000"/>
                <w:sz w:val="24"/>
                <w:szCs w:val="24"/>
              </w:rPr>
              <w:t xml:space="preserve"> because they adhere to it (the </w:t>
            </w:r>
            <w:proofErr w:type="spellStart"/>
            <w:r w:rsidRPr="002D2529">
              <w:rPr>
                <w:rFonts w:cs="Arial"/>
                <w:color w:val="000000"/>
                <w:sz w:val="24"/>
                <w:szCs w:val="24"/>
              </w:rPr>
              <w:t>Sunnah</w:t>
            </w:r>
            <w:proofErr w:type="spellEnd"/>
            <w:r w:rsidRPr="002D2529">
              <w:rPr>
                <w:rFonts w:cs="Arial"/>
                <w:color w:val="000000"/>
                <w:sz w:val="24"/>
                <w:szCs w:val="24"/>
              </w:rPr>
              <w:t>), and they called al-</w:t>
            </w:r>
            <w:proofErr w:type="spellStart"/>
            <w:r w:rsidRPr="002D2529">
              <w:rPr>
                <w:rFonts w:cs="Arial"/>
                <w:color w:val="000000"/>
                <w:sz w:val="24"/>
                <w:szCs w:val="24"/>
              </w:rPr>
              <w:t>Jamaa’ah</w:t>
            </w:r>
            <w:proofErr w:type="spellEnd"/>
            <w:r w:rsidRPr="002D2529">
              <w:rPr>
                <w:rFonts w:cs="Arial"/>
                <w:color w:val="000000"/>
                <w:sz w:val="24"/>
                <w:szCs w:val="24"/>
              </w:rPr>
              <w:t xml:space="preserve"> because they are united in following it.’ </w:t>
            </w:r>
          </w:p>
          <w:p w:rsidR="002D2529" w:rsidRPr="002D2529" w:rsidRDefault="002D2529" w:rsidP="00EF3A7E">
            <w:pPr>
              <w:cnfStyle w:val="000000000000"/>
              <w:rPr>
                <w:rFonts w:cs="Arial"/>
                <w:color w:val="000000"/>
                <w:sz w:val="24"/>
                <w:szCs w:val="24"/>
                <w:lang/>
              </w:rPr>
            </w:pPr>
          </w:p>
        </w:tc>
      </w:tr>
      <w:tr w:rsidR="002D2529" w:rsidRPr="002D2529" w:rsidTr="00EF3A7E">
        <w:trPr>
          <w:cnfStyle w:val="000000100000"/>
          <w:trHeight w:val="360"/>
        </w:trPr>
        <w:tc>
          <w:tcPr>
            <w:cnfStyle w:val="001000000000"/>
            <w:tcW w:w="1669" w:type="dxa"/>
          </w:tcPr>
          <w:p w:rsidR="002D2529" w:rsidRPr="002D2529" w:rsidRDefault="002D2529" w:rsidP="00EF3A7E">
            <w:pPr>
              <w:rPr>
                <w:sz w:val="24"/>
                <w:szCs w:val="24"/>
              </w:rPr>
            </w:pPr>
            <w:r w:rsidRPr="002D2529">
              <w:rPr>
                <w:rFonts w:eastAsia="Calibri" w:cs="Arial"/>
                <w:color w:val="000000"/>
                <w:sz w:val="24"/>
                <w:szCs w:val="24"/>
              </w:rPr>
              <w:lastRenderedPageBreak/>
              <w:t>Website</w:t>
            </w:r>
          </w:p>
        </w:tc>
        <w:tc>
          <w:tcPr>
            <w:tcW w:w="9405" w:type="dxa"/>
            <w:gridSpan w:val="4"/>
          </w:tcPr>
          <w:p w:rsidR="002D2529" w:rsidRPr="002D2529" w:rsidRDefault="002D2529" w:rsidP="00EF3A7E">
            <w:pPr>
              <w:cnfStyle w:val="000000100000"/>
              <w:rPr>
                <w:sz w:val="24"/>
                <w:szCs w:val="24"/>
              </w:rPr>
            </w:pPr>
            <w:r w:rsidRPr="002D2529">
              <w:rPr>
                <w:sz w:val="24"/>
                <w:szCs w:val="24"/>
              </w:rPr>
              <w:t>http://www.aswj.com.au</w:t>
            </w:r>
          </w:p>
        </w:tc>
      </w:tr>
      <w:tr w:rsidR="002D2529" w:rsidRPr="002D2529" w:rsidTr="00EF3A7E">
        <w:trPr>
          <w:trHeight w:val="294"/>
        </w:trPr>
        <w:tc>
          <w:tcPr>
            <w:cnfStyle w:val="001000000000"/>
            <w:tcW w:w="1669" w:type="dxa"/>
          </w:tcPr>
          <w:p w:rsidR="002D2529" w:rsidRPr="002D2529" w:rsidRDefault="002D2529" w:rsidP="00EF3A7E">
            <w:pPr>
              <w:rPr>
                <w:sz w:val="24"/>
                <w:szCs w:val="24"/>
              </w:rPr>
            </w:pPr>
            <w:r w:rsidRPr="002D2529">
              <w:rPr>
                <w:rFonts w:eastAsia="Calibri" w:cs="Arial"/>
                <w:color w:val="000000"/>
                <w:sz w:val="24"/>
                <w:szCs w:val="24"/>
              </w:rPr>
              <w:t>E-mail</w:t>
            </w:r>
          </w:p>
        </w:tc>
        <w:tc>
          <w:tcPr>
            <w:tcW w:w="9405" w:type="dxa"/>
            <w:gridSpan w:val="4"/>
          </w:tcPr>
          <w:p w:rsidR="002D2529" w:rsidRPr="002D2529" w:rsidRDefault="002D2529" w:rsidP="00EF3A7E">
            <w:pPr>
              <w:cnfStyle w:val="000000000000"/>
              <w:rPr>
                <w:sz w:val="24"/>
                <w:szCs w:val="24"/>
              </w:rPr>
            </w:pPr>
            <w:r w:rsidRPr="002D2529">
              <w:rPr>
                <w:sz w:val="24"/>
                <w:szCs w:val="24"/>
              </w:rPr>
              <w:t>aswj.sydney@gmail.com</w:t>
            </w:r>
          </w:p>
        </w:tc>
      </w:tr>
      <w:tr w:rsidR="002D2529" w:rsidRPr="002D2529" w:rsidTr="00EF3A7E">
        <w:trPr>
          <w:cnfStyle w:val="000000100000"/>
          <w:trHeight w:val="294"/>
        </w:trPr>
        <w:tc>
          <w:tcPr>
            <w:cnfStyle w:val="001000000000"/>
            <w:tcW w:w="1669" w:type="dxa"/>
          </w:tcPr>
          <w:p w:rsidR="002D2529" w:rsidRPr="002D2529" w:rsidRDefault="002D2529" w:rsidP="00EF3A7E">
            <w:pPr>
              <w:rPr>
                <w:sz w:val="24"/>
                <w:szCs w:val="24"/>
              </w:rPr>
            </w:pPr>
            <w:r w:rsidRPr="002D2529">
              <w:rPr>
                <w:rFonts w:eastAsia="Calibri" w:cs="Arial"/>
                <w:color w:val="000000"/>
                <w:sz w:val="24"/>
                <w:szCs w:val="24"/>
              </w:rPr>
              <w:t>Fax</w:t>
            </w:r>
          </w:p>
        </w:tc>
        <w:tc>
          <w:tcPr>
            <w:tcW w:w="9405" w:type="dxa"/>
            <w:gridSpan w:val="4"/>
          </w:tcPr>
          <w:p w:rsidR="002D2529" w:rsidRPr="002D2529" w:rsidRDefault="002D2529" w:rsidP="00EF3A7E">
            <w:pPr>
              <w:cnfStyle w:val="000000100000"/>
              <w:rPr>
                <w:b/>
                <w:bCs/>
                <w:sz w:val="24"/>
                <w:szCs w:val="24"/>
              </w:rPr>
            </w:pPr>
            <w:r w:rsidRPr="002D2529">
              <w:rPr>
                <w:sz w:val="24"/>
                <w:szCs w:val="24"/>
              </w:rPr>
              <w:t>02</w:t>
            </w:r>
            <w:r w:rsidRPr="002D2529">
              <w:rPr>
                <w:b/>
                <w:bCs/>
                <w:sz w:val="24"/>
                <w:szCs w:val="24"/>
              </w:rPr>
              <w:t xml:space="preserve"> </w:t>
            </w:r>
            <w:r w:rsidRPr="002D2529">
              <w:rPr>
                <w:rStyle w:val="Strong"/>
                <w:b w:val="0"/>
                <w:bCs w:val="0"/>
                <w:sz w:val="24"/>
                <w:szCs w:val="24"/>
              </w:rPr>
              <w:t>9758 3406</w:t>
            </w:r>
          </w:p>
        </w:tc>
      </w:tr>
      <w:tr w:rsidR="002D2529" w:rsidRPr="002D2529" w:rsidTr="00EF3A7E">
        <w:trPr>
          <w:trHeight w:val="294"/>
        </w:trPr>
        <w:tc>
          <w:tcPr>
            <w:cnfStyle w:val="001000000000"/>
            <w:tcW w:w="1669" w:type="dxa"/>
          </w:tcPr>
          <w:p w:rsidR="002D2529" w:rsidRPr="002D2529" w:rsidRDefault="002D2529" w:rsidP="00EF3A7E">
            <w:pPr>
              <w:rPr>
                <w:sz w:val="24"/>
                <w:szCs w:val="24"/>
              </w:rPr>
            </w:pPr>
            <w:r w:rsidRPr="002D2529">
              <w:rPr>
                <w:rFonts w:eastAsia="Calibri" w:cs="Arial"/>
                <w:color w:val="000000"/>
                <w:sz w:val="24"/>
                <w:szCs w:val="24"/>
              </w:rPr>
              <w:t>Tel</w:t>
            </w:r>
          </w:p>
        </w:tc>
        <w:tc>
          <w:tcPr>
            <w:tcW w:w="9405" w:type="dxa"/>
            <w:gridSpan w:val="4"/>
          </w:tcPr>
          <w:p w:rsidR="002D2529" w:rsidRPr="002D2529" w:rsidRDefault="002D2529" w:rsidP="00EF3A7E">
            <w:pPr>
              <w:cnfStyle w:val="000000000000"/>
              <w:rPr>
                <w:b/>
                <w:bCs/>
                <w:sz w:val="24"/>
                <w:szCs w:val="24"/>
              </w:rPr>
            </w:pPr>
            <w:r w:rsidRPr="002D2529">
              <w:rPr>
                <w:sz w:val="24"/>
                <w:szCs w:val="24"/>
              </w:rPr>
              <w:t>02</w:t>
            </w:r>
            <w:r w:rsidRPr="002D2529">
              <w:rPr>
                <w:b/>
                <w:bCs/>
                <w:sz w:val="24"/>
                <w:szCs w:val="24"/>
              </w:rPr>
              <w:t xml:space="preserve"> </w:t>
            </w:r>
            <w:r w:rsidRPr="002D2529">
              <w:rPr>
                <w:rStyle w:val="Strong"/>
                <w:b w:val="0"/>
                <w:bCs w:val="0"/>
                <w:sz w:val="24"/>
                <w:szCs w:val="24"/>
              </w:rPr>
              <w:t>9758 3406</w:t>
            </w:r>
          </w:p>
        </w:tc>
      </w:tr>
      <w:tr w:rsidR="002D2529" w:rsidRPr="002D2529" w:rsidTr="00EF3A7E">
        <w:trPr>
          <w:cnfStyle w:val="000000100000"/>
          <w:trHeight w:val="294"/>
        </w:trPr>
        <w:tc>
          <w:tcPr>
            <w:cnfStyle w:val="001000000000"/>
            <w:tcW w:w="1669" w:type="dxa"/>
          </w:tcPr>
          <w:p w:rsidR="002D2529" w:rsidRPr="002D2529" w:rsidRDefault="002D2529" w:rsidP="00EF3A7E">
            <w:pPr>
              <w:rPr>
                <w:sz w:val="24"/>
                <w:szCs w:val="24"/>
              </w:rPr>
            </w:pPr>
            <w:r w:rsidRPr="002D2529">
              <w:rPr>
                <w:rFonts w:eastAsia="Calibri" w:cs="Arial"/>
                <w:color w:val="000000"/>
                <w:sz w:val="24"/>
                <w:szCs w:val="24"/>
              </w:rPr>
              <w:t>Address</w:t>
            </w:r>
          </w:p>
        </w:tc>
        <w:tc>
          <w:tcPr>
            <w:tcW w:w="9405" w:type="dxa"/>
            <w:gridSpan w:val="4"/>
          </w:tcPr>
          <w:p w:rsidR="002D2529" w:rsidRPr="002D2529" w:rsidRDefault="002D2529" w:rsidP="002D2529">
            <w:pPr>
              <w:cnfStyle w:val="000000100000"/>
              <w:rPr>
                <w:sz w:val="24"/>
                <w:szCs w:val="24"/>
              </w:rPr>
            </w:pPr>
            <w:r w:rsidRPr="002D2529">
              <w:rPr>
                <w:sz w:val="24"/>
                <w:szCs w:val="24"/>
              </w:rPr>
              <w:t xml:space="preserve">132 </w:t>
            </w:r>
            <w:proofErr w:type="spellStart"/>
            <w:r w:rsidRPr="002D2529">
              <w:rPr>
                <w:sz w:val="24"/>
                <w:szCs w:val="24"/>
              </w:rPr>
              <w:t>Haldon</w:t>
            </w:r>
            <w:proofErr w:type="spellEnd"/>
            <w:r w:rsidRPr="002D2529">
              <w:rPr>
                <w:sz w:val="24"/>
                <w:szCs w:val="24"/>
              </w:rPr>
              <w:t xml:space="preserve"> Street, </w:t>
            </w:r>
            <w:proofErr w:type="spellStart"/>
            <w:r w:rsidRPr="002D2529">
              <w:rPr>
                <w:sz w:val="24"/>
                <w:szCs w:val="24"/>
              </w:rPr>
              <w:t>Lakemba</w:t>
            </w:r>
            <w:proofErr w:type="spellEnd"/>
            <w:r w:rsidRPr="002D2529">
              <w:rPr>
                <w:sz w:val="24"/>
                <w:szCs w:val="24"/>
              </w:rPr>
              <w:t>, New South Wales, 2195</w:t>
            </w:r>
          </w:p>
        </w:tc>
      </w:tr>
    </w:tbl>
    <w:p w:rsidR="002D2529" w:rsidRPr="002D2529" w:rsidRDefault="002D2529" w:rsidP="002D2529">
      <w:pPr>
        <w:rPr>
          <w:sz w:val="24"/>
          <w:szCs w:val="24"/>
        </w:rPr>
      </w:pPr>
    </w:p>
    <w:p w:rsidR="002D2529" w:rsidRPr="002D2529" w:rsidRDefault="002D2529" w:rsidP="002D2529">
      <w:pPr>
        <w:rPr>
          <w:sz w:val="24"/>
          <w:szCs w:val="24"/>
        </w:rPr>
      </w:pPr>
    </w:p>
    <w:p w:rsidR="002D2529" w:rsidRPr="002D2529" w:rsidRDefault="002D2529" w:rsidP="002D2529">
      <w:pPr>
        <w:rPr>
          <w:sz w:val="24"/>
          <w:szCs w:val="24"/>
        </w:rPr>
      </w:pPr>
    </w:p>
    <w:p w:rsidR="002D2529" w:rsidRPr="002D2529" w:rsidRDefault="002D2529" w:rsidP="002D2529">
      <w:pPr>
        <w:rPr>
          <w:sz w:val="24"/>
          <w:szCs w:val="24"/>
        </w:rPr>
      </w:pPr>
    </w:p>
    <w:p w:rsidR="002D2529" w:rsidRPr="002D2529" w:rsidRDefault="002D2529" w:rsidP="002D2529">
      <w:pPr>
        <w:rPr>
          <w:sz w:val="24"/>
          <w:szCs w:val="24"/>
        </w:rPr>
      </w:pPr>
    </w:p>
    <w:p w:rsidR="002D2529" w:rsidRPr="002D2529" w:rsidRDefault="002D2529" w:rsidP="002D2529">
      <w:pPr>
        <w:rPr>
          <w:sz w:val="24"/>
          <w:szCs w:val="24"/>
        </w:rPr>
      </w:pPr>
    </w:p>
    <w:p w:rsidR="002D2529" w:rsidRPr="002D2529" w:rsidRDefault="002D2529" w:rsidP="002D2529">
      <w:pPr>
        <w:rPr>
          <w:sz w:val="24"/>
          <w:szCs w:val="24"/>
        </w:rPr>
      </w:pPr>
    </w:p>
    <w:p w:rsidR="002D2529" w:rsidRPr="002D2529" w:rsidRDefault="002D2529" w:rsidP="002D2529">
      <w:pPr>
        <w:rPr>
          <w:sz w:val="24"/>
          <w:szCs w:val="24"/>
        </w:rPr>
      </w:pPr>
    </w:p>
    <w:p w:rsidR="002D2529" w:rsidRPr="002D2529" w:rsidRDefault="002D2529" w:rsidP="002D2529">
      <w:pPr>
        <w:rPr>
          <w:sz w:val="24"/>
          <w:szCs w:val="24"/>
        </w:rPr>
      </w:pPr>
    </w:p>
    <w:p w:rsidR="002D2529" w:rsidRPr="002D2529" w:rsidRDefault="002D2529" w:rsidP="002D2529">
      <w:pPr>
        <w:rPr>
          <w:sz w:val="24"/>
          <w:szCs w:val="24"/>
        </w:rPr>
      </w:pPr>
    </w:p>
    <w:p w:rsidR="00EA4E95" w:rsidRPr="002D2529" w:rsidRDefault="00EA4E95">
      <w:pPr>
        <w:rPr>
          <w:sz w:val="24"/>
          <w:szCs w:val="24"/>
        </w:rPr>
      </w:pPr>
    </w:p>
    <w:sectPr w:rsidR="00EA4E95" w:rsidRPr="002D2529"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2D2529"/>
    <w:rsid w:val="002D2529"/>
    <w:rsid w:val="00733D35"/>
    <w:rsid w:val="008528C4"/>
    <w:rsid w:val="00B26648"/>
    <w:rsid w:val="00B9053F"/>
    <w:rsid w:val="00EA4E95"/>
    <w:rsid w:val="00F160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2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
    <w:name w:val="Colorful List"/>
    <w:basedOn w:val="TableNormal"/>
    <w:uiPriority w:val="72"/>
    <w:rsid w:val="002D252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2D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529"/>
    <w:rPr>
      <w:rFonts w:ascii="Tahoma" w:hAnsi="Tahoma" w:cs="Tahoma"/>
      <w:sz w:val="16"/>
      <w:szCs w:val="16"/>
    </w:rPr>
  </w:style>
  <w:style w:type="character" w:styleId="Strong">
    <w:name w:val="Strong"/>
    <w:basedOn w:val="DefaultParagraphFont"/>
    <w:uiPriority w:val="22"/>
    <w:qFormat/>
    <w:rsid w:val="002D2529"/>
    <w:rPr>
      <w:b/>
      <w:bCs/>
    </w:rPr>
  </w:style>
</w:styles>
</file>

<file path=word/webSettings.xml><?xml version="1.0" encoding="utf-8"?>
<w:webSettings xmlns:r="http://schemas.openxmlformats.org/officeDocument/2006/relationships" xmlns:w="http://schemas.openxmlformats.org/wordprocessingml/2006/main">
  <w:divs>
    <w:div w:id="183593859">
      <w:bodyDiv w:val="1"/>
      <w:marLeft w:val="0"/>
      <w:marRight w:val="0"/>
      <w:marTop w:val="0"/>
      <w:marBottom w:val="0"/>
      <w:divBdr>
        <w:top w:val="none" w:sz="0" w:space="0" w:color="auto"/>
        <w:left w:val="none" w:sz="0" w:space="0" w:color="auto"/>
        <w:bottom w:val="none" w:sz="0" w:space="0" w:color="auto"/>
        <w:right w:val="none" w:sz="0" w:space="0" w:color="auto"/>
      </w:divBdr>
    </w:div>
    <w:div w:id="329136159">
      <w:bodyDiv w:val="1"/>
      <w:marLeft w:val="0"/>
      <w:marRight w:val="0"/>
      <w:marTop w:val="0"/>
      <w:marBottom w:val="0"/>
      <w:divBdr>
        <w:top w:val="none" w:sz="0" w:space="0" w:color="auto"/>
        <w:left w:val="none" w:sz="0" w:space="0" w:color="auto"/>
        <w:bottom w:val="none" w:sz="0" w:space="0" w:color="auto"/>
        <w:right w:val="none" w:sz="0" w:space="0" w:color="auto"/>
      </w:divBdr>
    </w:div>
    <w:div w:id="465660743">
      <w:bodyDiv w:val="1"/>
      <w:marLeft w:val="0"/>
      <w:marRight w:val="0"/>
      <w:marTop w:val="0"/>
      <w:marBottom w:val="0"/>
      <w:divBdr>
        <w:top w:val="none" w:sz="0" w:space="0" w:color="auto"/>
        <w:left w:val="none" w:sz="0" w:space="0" w:color="auto"/>
        <w:bottom w:val="none" w:sz="0" w:space="0" w:color="auto"/>
        <w:right w:val="none" w:sz="0" w:space="0" w:color="auto"/>
      </w:divBdr>
    </w:div>
    <w:div w:id="736781972">
      <w:bodyDiv w:val="1"/>
      <w:marLeft w:val="0"/>
      <w:marRight w:val="0"/>
      <w:marTop w:val="0"/>
      <w:marBottom w:val="0"/>
      <w:divBdr>
        <w:top w:val="none" w:sz="0" w:space="0" w:color="auto"/>
        <w:left w:val="none" w:sz="0" w:space="0" w:color="auto"/>
        <w:bottom w:val="none" w:sz="0" w:space="0" w:color="auto"/>
        <w:right w:val="none" w:sz="0" w:space="0" w:color="auto"/>
      </w:divBdr>
    </w:div>
    <w:div w:id="791703749">
      <w:bodyDiv w:val="1"/>
      <w:marLeft w:val="0"/>
      <w:marRight w:val="0"/>
      <w:marTop w:val="0"/>
      <w:marBottom w:val="0"/>
      <w:divBdr>
        <w:top w:val="none" w:sz="0" w:space="0" w:color="auto"/>
        <w:left w:val="none" w:sz="0" w:space="0" w:color="auto"/>
        <w:bottom w:val="none" w:sz="0" w:space="0" w:color="auto"/>
        <w:right w:val="none" w:sz="0" w:space="0" w:color="auto"/>
      </w:divBdr>
    </w:div>
    <w:div w:id="14297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1</cp:revision>
  <dcterms:created xsi:type="dcterms:W3CDTF">2011-08-06T20:33:00Z</dcterms:created>
  <dcterms:modified xsi:type="dcterms:W3CDTF">2011-08-06T20:48:00Z</dcterms:modified>
</cp:coreProperties>
</file>