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A9" w:rsidRDefault="001B1700" w:rsidP="00A84FA9">
      <w:r>
        <w:t>25</w:t>
      </w:r>
    </w:p>
    <w:tbl>
      <w:tblPr>
        <w:tblStyle w:val="ColorfulList1"/>
        <w:tblW w:w="11074" w:type="dxa"/>
        <w:tblLook w:val="04A0"/>
      </w:tblPr>
      <w:tblGrid>
        <w:gridCol w:w="1877"/>
        <w:gridCol w:w="661"/>
        <w:gridCol w:w="5345"/>
        <w:gridCol w:w="776"/>
        <w:gridCol w:w="2415"/>
      </w:tblGrid>
      <w:tr w:rsidR="00A84FA9" w:rsidTr="00EF3A7E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A84FA9" w:rsidRPr="00F64AE1" w:rsidRDefault="00A84FA9" w:rsidP="00EF3A7E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A84FA9" w:rsidRDefault="00A84FA9" w:rsidP="00EF3A7E">
            <w:pPr>
              <w:jc w:val="center"/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</w:rPr>
              <w:t>(Centers and Academies)</w:t>
            </w:r>
          </w:p>
        </w:tc>
      </w:tr>
      <w:tr w:rsidR="00A84FA9" w:rsidTr="00EF3A7E">
        <w:trPr>
          <w:cnfStyle w:val="000000100000"/>
          <w:trHeight w:val="294"/>
        </w:trPr>
        <w:tc>
          <w:tcPr>
            <w:cnfStyle w:val="001000000000"/>
            <w:tcW w:w="7883" w:type="dxa"/>
            <w:gridSpan w:val="3"/>
          </w:tcPr>
          <w:p w:rsidR="00A84FA9" w:rsidRDefault="00A84FA9" w:rsidP="00EF3A7E"/>
        </w:tc>
        <w:tc>
          <w:tcPr>
            <w:tcW w:w="776" w:type="dxa"/>
          </w:tcPr>
          <w:p w:rsidR="00A84FA9" w:rsidRDefault="00A84FA9" w:rsidP="00EF3A7E">
            <w:pPr>
              <w:cnfStyle w:val="000000100000"/>
            </w:pPr>
            <w:r>
              <w:rPr>
                <w:rFonts w:ascii="Calibri" w:eastAsia="Calibri" w:hAnsi="Calibri" w:cs="Arial"/>
                <w:color w:val="000000"/>
              </w:rPr>
              <w:t>Logo</w:t>
            </w:r>
          </w:p>
        </w:tc>
        <w:tc>
          <w:tcPr>
            <w:tcW w:w="2415" w:type="dxa"/>
            <w:vMerge w:val="restart"/>
          </w:tcPr>
          <w:p w:rsidR="00A84FA9" w:rsidRDefault="00A84FA9" w:rsidP="00A84FA9">
            <w:pPr>
              <w:cnfStyle w:val="000000100000"/>
            </w:pPr>
            <w:r>
              <w:rPr>
                <w:noProof/>
              </w:rPr>
              <w:drawing>
                <wp:inline distT="0" distB="0" distL="0" distR="0">
                  <wp:extent cx="775851" cy="1329069"/>
                  <wp:effectExtent l="19050" t="0" r="5199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251" cy="133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44476" cy="1329069"/>
                  <wp:effectExtent l="19050" t="0" r="7974" b="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958" cy="134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FA9" w:rsidTr="00EF3A7E">
        <w:trPr>
          <w:trHeight w:val="597"/>
        </w:trPr>
        <w:tc>
          <w:tcPr>
            <w:cnfStyle w:val="001000000000"/>
            <w:tcW w:w="8659" w:type="dxa"/>
            <w:gridSpan w:val="4"/>
          </w:tcPr>
          <w:p w:rsidR="00A84FA9" w:rsidRPr="00212E99" w:rsidRDefault="00A84FA9" w:rsidP="00EF3A7E"/>
        </w:tc>
        <w:tc>
          <w:tcPr>
            <w:tcW w:w="2415" w:type="dxa"/>
            <w:vMerge/>
          </w:tcPr>
          <w:p w:rsidR="00A84FA9" w:rsidRDefault="00A84FA9" w:rsidP="00EF3A7E">
            <w:pPr>
              <w:cnfStyle w:val="000000000000"/>
            </w:pPr>
          </w:p>
        </w:tc>
      </w:tr>
      <w:tr w:rsidR="00A84FA9" w:rsidTr="00EF3A7E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A84FA9" w:rsidRDefault="00A84FA9" w:rsidP="00EF3A7E">
            <w:r>
              <w:t>Name</w:t>
            </w:r>
          </w:p>
        </w:tc>
        <w:tc>
          <w:tcPr>
            <w:tcW w:w="6121" w:type="dxa"/>
            <w:gridSpan w:val="2"/>
          </w:tcPr>
          <w:p w:rsidR="00A84FA9" w:rsidRPr="00F80293" w:rsidRDefault="00AF0B9F" w:rsidP="00EF3A7E">
            <w:pPr>
              <w:cnfStyle w:val="000000100000"/>
            </w:pPr>
            <w:r>
              <w:t>E</w:t>
            </w:r>
            <w:r w:rsidR="00A84FA9">
              <w:t>ast China University of Political Science and Law (ECUPL)</w:t>
            </w:r>
          </w:p>
        </w:tc>
        <w:tc>
          <w:tcPr>
            <w:tcW w:w="2415" w:type="dxa"/>
            <w:vMerge/>
          </w:tcPr>
          <w:p w:rsidR="00A84FA9" w:rsidRDefault="00A84FA9" w:rsidP="00EF3A7E">
            <w:pPr>
              <w:cnfStyle w:val="000000100000"/>
            </w:pPr>
          </w:p>
        </w:tc>
      </w:tr>
      <w:tr w:rsidR="00A84FA9" w:rsidTr="00EF3A7E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A84FA9" w:rsidRDefault="00A84FA9" w:rsidP="00EF3A7E">
            <w:r w:rsidRPr="00BD64F0">
              <w:rPr>
                <w:rFonts w:ascii="Calibri" w:eastAsia="Calibri" w:hAnsi="Calibri" w:cs="Arial"/>
                <w:color w:val="000000"/>
              </w:rPr>
              <w:t>Head</w:t>
            </w:r>
          </w:p>
        </w:tc>
        <w:tc>
          <w:tcPr>
            <w:tcW w:w="6121" w:type="dxa"/>
            <w:gridSpan w:val="2"/>
          </w:tcPr>
          <w:p w:rsidR="00A84FA9" w:rsidRPr="00A148F5" w:rsidRDefault="00AF0B9F" w:rsidP="00AF0B9F">
            <w:pPr>
              <w:cnfStyle w:val="000000000000"/>
            </w:pPr>
            <w:r w:rsidRPr="00AF0B9F">
              <w:rPr>
                <w:b/>
                <w:bCs/>
              </w:rPr>
              <w:t>P</w:t>
            </w:r>
            <w:r w:rsidRPr="00AF0B9F">
              <w:t>rofessor He Qinhua</w:t>
            </w:r>
          </w:p>
        </w:tc>
        <w:tc>
          <w:tcPr>
            <w:tcW w:w="2415" w:type="dxa"/>
            <w:vMerge/>
          </w:tcPr>
          <w:p w:rsidR="00A84FA9" w:rsidRDefault="00A84FA9" w:rsidP="00EF3A7E">
            <w:pPr>
              <w:cnfStyle w:val="000000000000"/>
            </w:pPr>
          </w:p>
        </w:tc>
      </w:tr>
      <w:tr w:rsidR="00A84FA9" w:rsidTr="00EF3A7E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A84FA9" w:rsidRDefault="00A84FA9" w:rsidP="00EF3A7E">
            <w:r w:rsidRPr="00BD64F0">
              <w:rPr>
                <w:rFonts w:ascii="Calibri" w:eastAsia="Calibri" w:hAnsi="Calibri" w:cs="Arial"/>
                <w:color w:val="000000"/>
              </w:rPr>
              <w:t>Type</w:t>
            </w:r>
          </w:p>
        </w:tc>
        <w:tc>
          <w:tcPr>
            <w:tcW w:w="6121" w:type="dxa"/>
            <w:gridSpan w:val="2"/>
          </w:tcPr>
          <w:p w:rsidR="00A84FA9" w:rsidRPr="00212E99" w:rsidRDefault="00AF0B9F" w:rsidP="00EF3A7E">
            <w:pPr>
              <w:cnfStyle w:val="000000100000"/>
            </w:pPr>
            <w:r>
              <w:t>Governmental</w:t>
            </w:r>
          </w:p>
        </w:tc>
        <w:tc>
          <w:tcPr>
            <w:tcW w:w="2415" w:type="dxa"/>
            <w:vMerge/>
          </w:tcPr>
          <w:p w:rsidR="00A84FA9" w:rsidRDefault="00A84FA9" w:rsidP="00EF3A7E">
            <w:pPr>
              <w:cnfStyle w:val="000000100000"/>
            </w:pPr>
          </w:p>
        </w:tc>
      </w:tr>
      <w:tr w:rsidR="00A84FA9" w:rsidTr="00EF3A7E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A84FA9" w:rsidRDefault="00A84FA9" w:rsidP="00EF3A7E">
            <w:r w:rsidRPr="00BD64F0">
              <w:rPr>
                <w:rFonts w:ascii="Calibri" w:eastAsia="Calibri" w:hAnsi="Calibri" w:cs="Arial"/>
                <w:color w:val="000000"/>
              </w:rPr>
              <w:t>Year of Establishment</w:t>
            </w:r>
          </w:p>
        </w:tc>
        <w:tc>
          <w:tcPr>
            <w:tcW w:w="6121" w:type="dxa"/>
            <w:gridSpan w:val="2"/>
          </w:tcPr>
          <w:p w:rsidR="00A84FA9" w:rsidRDefault="00A84FA9" w:rsidP="00EF3A7E">
            <w:pPr>
              <w:cnfStyle w:val="000000000000"/>
            </w:pPr>
            <w:r>
              <w:t>1952</w:t>
            </w:r>
          </w:p>
        </w:tc>
        <w:tc>
          <w:tcPr>
            <w:tcW w:w="2415" w:type="dxa"/>
            <w:vMerge/>
          </w:tcPr>
          <w:p w:rsidR="00A84FA9" w:rsidRDefault="00A84FA9" w:rsidP="00EF3A7E">
            <w:pPr>
              <w:cnfStyle w:val="000000000000"/>
            </w:pPr>
          </w:p>
        </w:tc>
      </w:tr>
      <w:tr w:rsidR="00A84FA9" w:rsidTr="00EF3A7E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A84FA9" w:rsidRDefault="00A84FA9" w:rsidP="00EF3A7E"/>
        </w:tc>
      </w:tr>
      <w:tr w:rsidR="00A84FA9" w:rsidTr="00EF3A7E">
        <w:trPr>
          <w:trHeight w:val="597"/>
        </w:trPr>
        <w:tc>
          <w:tcPr>
            <w:cnfStyle w:val="001000000000"/>
            <w:tcW w:w="1877" w:type="dxa"/>
          </w:tcPr>
          <w:p w:rsidR="00A84FA9" w:rsidRDefault="00A84FA9" w:rsidP="00EF3A7E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197" w:type="dxa"/>
            <w:gridSpan w:val="4"/>
          </w:tcPr>
          <w:p w:rsidR="00A84FA9" w:rsidRDefault="00AA2560" w:rsidP="00EF3A7E">
            <w:pPr>
              <w:cnfStyle w:val="000000000000"/>
            </w:pPr>
            <w:r>
              <w:t>--------------------------</w:t>
            </w:r>
          </w:p>
        </w:tc>
      </w:tr>
      <w:tr w:rsidR="00A84FA9" w:rsidTr="00EF3A7E">
        <w:trPr>
          <w:cnfStyle w:val="000000100000"/>
          <w:trHeight w:val="597"/>
        </w:trPr>
        <w:tc>
          <w:tcPr>
            <w:cnfStyle w:val="001000000000"/>
            <w:tcW w:w="1877" w:type="dxa"/>
          </w:tcPr>
          <w:p w:rsidR="00A84FA9" w:rsidRDefault="00A84FA9" w:rsidP="00EF3A7E">
            <w:r>
              <w:rPr>
                <w:rFonts w:ascii="Calibri" w:eastAsia="Calibri" w:hAnsi="Calibri" w:cs="Arial"/>
                <w:color w:val="000000"/>
              </w:rPr>
              <w:t>Activities</w:t>
            </w:r>
          </w:p>
        </w:tc>
        <w:tc>
          <w:tcPr>
            <w:tcW w:w="9197" w:type="dxa"/>
            <w:gridSpan w:val="4"/>
          </w:tcPr>
          <w:p w:rsidR="00AF0B9F" w:rsidRPr="00AF0B9F" w:rsidRDefault="00AF0B9F" w:rsidP="00AF0B9F">
            <w:pPr>
              <w:cnfStyle w:val="000000100000"/>
            </w:pPr>
            <w:r w:rsidRPr="00AF0B9F">
              <w:t xml:space="preserve">four LLD programs, i.e. legal historiography, criminal jurisprudence, economic jurisprudence, and international law, and nine LLM programs </w:t>
            </w:r>
          </w:p>
          <w:p w:rsidR="00AF0B9F" w:rsidRPr="00AF0B9F" w:rsidRDefault="00AF0B9F" w:rsidP="00AF0B9F">
            <w:pPr>
              <w:cnfStyle w:val="000000100000"/>
            </w:pPr>
            <w:r w:rsidRPr="00AF0B9F">
              <w:t>of law, i.e. theories of law, legal historiography, constitutional jurisprudence and administrative jurisprudence, criminal jurisprudence, civil and commercial jurisprudence, procedural law, economic jurisprudence international</w:t>
            </w:r>
            <w:r>
              <w:t>,</w:t>
            </w:r>
            <w:r w:rsidRPr="00AF0B9F">
              <w:t xml:space="preserve"> jurisprudence, environment and resources protection jurisprudence and one LLM program of professional law</w:t>
            </w:r>
          </w:p>
          <w:p w:rsidR="00A84FA9" w:rsidRDefault="00A84FA9" w:rsidP="00EF3A7E">
            <w:pPr>
              <w:cnfStyle w:val="000000100000"/>
            </w:pPr>
          </w:p>
        </w:tc>
      </w:tr>
      <w:tr w:rsidR="00A84FA9" w:rsidTr="00EF3A7E">
        <w:trPr>
          <w:trHeight w:val="597"/>
        </w:trPr>
        <w:tc>
          <w:tcPr>
            <w:cnfStyle w:val="001000000000"/>
            <w:tcW w:w="1877" w:type="dxa"/>
          </w:tcPr>
          <w:p w:rsidR="00A84FA9" w:rsidRDefault="00A84FA9" w:rsidP="00EF3A7E">
            <w:pPr>
              <w:rPr>
                <w:rFonts w:ascii="Calibri" w:eastAsia="Calibri" w:hAnsi="Calibri" w:cs="Arial"/>
                <w:color w:val="000000"/>
              </w:rPr>
            </w:pPr>
            <w:r w:rsidRPr="0043297F">
              <w:t>Main disciplines</w:t>
            </w:r>
          </w:p>
        </w:tc>
        <w:tc>
          <w:tcPr>
            <w:tcW w:w="9197" w:type="dxa"/>
            <w:gridSpan w:val="4"/>
          </w:tcPr>
          <w:p w:rsidR="00A84FA9" w:rsidRPr="0043297F" w:rsidRDefault="00AA2560" w:rsidP="00EF3A7E">
            <w:pPr>
              <w:cnfStyle w:val="000000000000"/>
            </w:pPr>
            <w:r>
              <w:t>---------------------------</w:t>
            </w:r>
          </w:p>
        </w:tc>
      </w:tr>
      <w:tr w:rsidR="00A84FA9" w:rsidTr="00EF3A7E">
        <w:trPr>
          <w:cnfStyle w:val="000000100000"/>
          <w:trHeight w:val="360"/>
        </w:trPr>
        <w:tc>
          <w:tcPr>
            <w:cnfStyle w:val="001000000000"/>
            <w:tcW w:w="1877" w:type="dxa"/>
          </w:tcPr>
          <w:p w:rsidR="00A84FA9" w:rsidRDefault="00A84FA9" w:rsidP="00EF3A7E">
            <w:r>
              <w:rPr>
                <w:rFonts w:ascii="Calibri" w:eastAsia="Calibri" w:hAnsi="Calibri" w:cs="Arial"/>
                <w:color w:val="000000"/>
              </w:rPr>
              <w:t>Website</w:t>
            </w:r>
          </w:p>
        </w:tc>
        <w:tc>
          <w:tcPr>
            <w:tcW w:w="9197" w:type="dxa"/>
            <w:gridSpan w:val="4"/>
          </w:tcPr>
          <w:p w:rsidR="00A84FA9" w:rsidRDefault="00AA2560" w:rsidP="00EF3A7E">
            <w:pPr>
              <w:cnfStyle w:val="000000100000"/>
            </w:pPr>
            <w:r w:rsidRPr="00AA2560">
              <w:t>http://www.ecupl.edu.cn/en/index.asp</w:t>
            </w:r>
          </w:p>
        </w:tc>
      </w:tr>
      <w:tr w:rsidR="00A84FA9" w:rsidTr="00EF3A7E">
        <w:trPr>
          <w:trHeight w:val="294"/>
        </w:trPr>
        <w:tc>
          <w:tcPr>
            <w:cnfStyle w:val="001000000000"/>
            <w:tcW w:w="1877" w:type="dxa"/>
          </w:tcPr>
          <w:p w:rsidR="00A84FA9" w:rsidRDefault="00A84FA9" w:rsidP="00EF3A7E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197" w:type="dxa"/>
            <w:gridSpan w:val="4"/>
          </w:tcPr>
          <w:p w:rsidR="00A84FA9" w:rsidRDefault="00AA2560" w:rsidP="00EF3A7E">
            <w:pPr>
              <w:cnfStyle w:val="000000000000"/>
            </w:pPr>
            <w:r>
              <w:t>---------------------------</w:t>
            </w:r>
          </w:p>
        </w:tc>
      </w:tr>
      <w:tr w:rsidR="00A84FA9" w:rsidTr="00EF3A7E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A84FA9" w:rsidRDefault="00A84FA9" w:rsidP="00EF3A7E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197" w:type="dxa"/>
            <w:gridSpan w:val="4"/>
          </w:tcPr>
          <w:p w:rsidR="00A84FA9" w:rsidRDefault="00AA2560" w:rsidP="00EF3A7E">
            <w:pPr>
              <w:cnfStyle w:val="000000100000"/>
            </w:pPr>
            <w:r>
              <w:t>---------------------------</w:t>
            </w:r>
          </w:p>
        </w:tc>
      </w:tr>
      <w:tr w:rsidR="00A84FA9" w:rsidTr="00EF3A7E">
        <w:trPr>
          <w:trHeight w:val="294"/>
        </w:trPr>
        <w:tc>
          <w:tcPr>
            <w:cnfStyle w:val="001000000000"/>
            <w:tcW w:w="1877" w:type="dxa"/>
          </w:tcPr>
          <w:p w:rsidR="00A84FA9" w:rsidRDefault="00A84FA9" w:rsidP="00EF3A7E">
            <w:r>
              <w:rPr>
                <w:rFonts w:ascii="Calibri" w:eastAsia="Calibri" w:hAnsi="Calibri" w:cs="Arial"/>
                <w:color w:val="000000"/>
              </w:rPr>
              <w:t>Tel</w:t>
            </w:r>
          </w:p>
        </w:tc>
        <w:tc>
          <w:tcPr>
            <w:tcW w:w="9197" w:type="dxa"/>
            <w:gridSpan w:val="4"/>
          </w:tcPr>
          <w:p w:rsidR="00A84FA9" w:rsidRDefault="00AA2560" w:rsidP="00EF3A7E">
            <w:pPr>
              <w:cnfStyle w:val="000000000000"/>
            </w:pPr>
            <w:r>
              <w:t>---------------------------</w:t>
            </w:r>
          </w:p>
        </w:tc>
      </w:tr>
      <w:tr w:rsidR="00A84FA9" w:rsidTr="00EF3A7E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A84FA9" w:rsidRDefault="00A84FA9" w:rsidP="00EF3A7E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197" w:type="dxa"/>
            <w:gridSpan w:val="4"/>
          </w:tcPr>
          <w:p w:rsidR="00A84FA9" w:rsidRDefault="00AA2560" w:rsidP="00AA2560">
            <w:pPr>
              <w:cnfStyle w:val="000000100000"/>
            </w:pPr>
            <w:r w:rsidRPr="00AA2560">
              <w:t>Songjiang University Park, Long Yuan Road 555</w:t>
            </w:r>
          </w:p>
        </w:tc>
      </w:tr>
    </w:tbl>
    <w:p w:rsidR="00A84FA9" w:rsidRPr="00A55068" w:rsidRDefault="00A84FA9" w:rsidP="00A84FA9"/>
    <w:p w:rsidR="00A84FA9" w:rsidRDefault="00A84FA9" w:rsidP="00A84FA9"/>
    <w:p w:rsidR="00A84FA9" w:rsidRPr="00C86EAE" w:rsidRDefault="00A84FA9" w:rsidP="00A84FA9"/>
    <w:p w:rsidR="00EA4E95" w:rsidRDefault="00EA4E95"/>
    <w:sectPr w:rsidR="00EA4E95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84FA9"/>
    <w:rsid w:val="001B1700"/>
    <w:rsid w:val="00733D35"/>
    <w:rsid w:val="00A84FA9"/>
    <w:rsid w:val="00AA2560"/>
    <w:rsid w:val="00AF0B9F"/>
    <w:rsid w:val="00B26648"/>
    <w:rsid w:val="00B9053F"/>
    <w:rsid w:val="00EA4E95"/>
    <w:rsid w:val="00F1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A84F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8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2</cp:revision>
  <dcterms:created xsi:type="dcterms:W3CDTF">2011-08-06T17:33:00Z</dcterms:created>
  <dcterms:modified xsi:type="dcterms:W3CDTF">2011-08-06T18:08:00Z</dcterms:modified>
</cp:coreProperties>
</file>