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olorfulList1"/>
        <w:tblW w:w="11074" w:type="dxa"/>
        <w:tblLook w:val="04A0"/>
      </w:tblPr>
      <w:tblGrid>
        <w:gridCol w:w="1632"/>
        <w:gridCol w:w="6140"/>
        <w:gridCol w:w="776"/>
        <w:gridCol w:w="2526"/>
      </w:tblGrid>
      <w:tr w:rsidR="00360676" w:rsidTr="00AE3597">
        <w:trPr>
          <w:cnfStyle w:val="100000000000"/>
          <w:trHeight w:val="900"/>
        </w:trPr>
        <w:tc>
          <w:tcPr>
            <w:cnfStyle w:val="001000000000"/>
            <w:tcW w:w="11074" w:type="dxa"/>
            <w:gridSpan w:val="4"/>
          </w:tcPr>
          <w:p w:rsidR="00360676" w:rsidRPr="00212E99" w:rsidRDefault="00360676" w:rsidP="00AE3597">
            <w:pPr>
              <w:jc w:val="center"/>
              <w:rPr>
                <w:rFonts w:ascii="Calibri" w:eastAsia="Calibri" w:hAnsi="Calibri" w:cs="Arial"/>
                <w:b w:val="0"/>
                <w:bCs w:val="0"/>
                <w:color w:val="FFFFFF"/>
                <w:sz w:val="24"/>
                <w:szCs w:val="24"/>
              </w:rPr>
            </w:pPr>
            <w:r w:rsidRPr="00212E99">
              <w:rPr>
                <w:rFonts w:ascii="Calibri" w:eastAsia="Calibri" w:hAnsi="Calibri" w:cs="Arial"/>
                <w:b w:val="0"/>
                <w:bCs w:val="0"/>
                <w:color w:val="FFFFFF"/>
                <w:sz w:val="24"/>
                <w:szCs w:val="24"/>
              </w:rPr>
              <w:t>Asian Cultural Documentation Center</w:t>
            </w:r>
          </w:p>
          <w:p w:rsidR="00360676" w:rsidRPr="00C85D21" w:rsidRDefault="00360676" w:rsidP="00AE3597">
            <w:pPr>
              <w:jc w:val="center"/>
              <w:rPr>
                <w:rFonts w:ascii="Calibri" w:eastAsia="Calibri" w:hAnsi="Calibri" w:cs="Arial"/>
                <w:b w:val="0"/>
                <w:bCs w:val="0"/>
                <w:color w:val="FFFFFF"/>
              </w:rPr>
            </w:pPr>
            <w:r>
              <w:rPr>
                <w:rFonts w:ascii="Calibri" w:eastAsia="Calibri" w:hAnsi="Calibri" w:cs="Arial"/>
                <w:b w:val="0"/>
                <w:bCs w:val="0"/>
                <w:color w:val="FFFFFF"/>
              </w:rPr>
              <w:t>(Researchers)</w:t>
            </w:r>
          </w:p>
          <w:p w:rsidR="00360676" w:rsidRDefault="00360676" w:rsidP="00AE3597"/>
        </w:tc>
      </w:tr>
      <w:tr w:rsidR="00360676" w:rsidTr="00AE3597">
        <w:trPr>
          <w:cnfStyle w:val="000000100000"/>
          <w:trHeight w:val="294"/>
        </w:trPr>
        <w:tc>
          <w:tcPr>
            <w:cnfStyle w:val="001000000000"/>
            <w:tcW w:w="7772" w:type="dxa"/>
            <w:gridSpan w:val="2"/>
          </w:tcPr>
          <w:p w:rsidR="00360676" w:rsidRDefault="00360676" w:rsidP="00AE3597"/>
        </w:tc>
        <w:tc>
          <w:tcPr>
            <w:tcW w:w="776" w:type="dxa"/>
          </w:tcPr>
          <w:p w:rsidR="00360676" w:rsidRPr="003F1A6A" w:rsidRDefault="00360676" w:rsidP="00AE3597">
            <w:pPr>
              <w:cnfStyle w:val="000000100000"/>
              <w:rPr>
                <w:b/>
                <w:bCs/>
              </w:rPr>
            </w:pPr>
            <w:r w:rsidRPr="003F1A6A">
              <w:rPr>
                <w:rFonts w:ascii="Calibri" w:eastAsia="Calibri" w:hAnsi="Calibri" w:cs="Arial"/>
                <w:b/>
                <w:bCs/>
                <w:color w:val="000000"/>
              </w:rPr>
              <w:t>Photo</w:t>
            </w:r>
          </w:p>
        </w:tc>
        <w:tc>
          <w:tcPr>
            <w:tcW w:w="2526" w:type="dxa"/>
            <w:vMerge w:val="restart"/>
          </w:tcPr>
          <w:p w:rsidR="00360676" w:rsidRDefault="002F34B2" w:rsidP="00AE3597">
            <w:pPr>
              <w:cnfStyle w:val="000000100000"/>
            </w:pPr>
            <w:r w:rsidRPr="002F34B2">
              <w:drawing>
                <wp:inline distT="0" distB="0" distL="0" distR="0">
                  <wp:extent cx="1209675" cy="1572578"/>
                  <wp:effectExtent l="19050" t="0" r="9525" b="0"/>
                  <wp:docPr id="428" name="Picture 428" descr="http://english.sass.org.cn/admin/upfiles/20117121162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english.sass.org.cn/admin/upfiles/201171211620607.jpg"/>
                          <pic:cNvPicPr>
                            <a:picLocks noChangeAspect="1" noChangeArrowheads="1"/>
                          </pic:cNvPicPr>
                        </pic:nvPicPr>
                        <pic:blipFill>
                          <a:blip r:embed="rId5" cstate="print"/>
                          <a:srcRect/>
                          <a:stretch>
                            <a:fillRect/>
                          </a:stretch>
                        </pic:blipFill>
                        <pic:spPr bwMode="auto">
                          <a:xfrm>
                            <a:off x="0" y="0"/>
                            <a:ext cx="1209675" cy="1572578"/>
                          </a:xfrm>
                          <a:prstGeom prst="rect">
                            <a:avLst/>
                          </a:prstGeom>
                          <a:noFill/>
                          <a:ln w="9525">
                            <a:noFill/>
                            <a:miter lim="800000"/>
                            <a:headEnd/>
                            <a:tailEnd/>
                          </a:ln>
                        </pic:spPr>
                      </pic:pic>
                    </a:graphicData>
                  </a:graphic>
                </wp:inline>
              </w:drawing>
            </w:r>
          </w:p>
        </w:tc>
      </w:tr>
      <w:tr w:rsidR="00360676" w:rsidTr="00AE3597">
        <w:trPr>
          <w:trHeight w:val="597"/>
        </w:trPr>
        <w:tc>
          <w:tcPr>
            <w:cnfStyle w:val="001000000000"/>
            <w:tcW w:w="8548" w:type="dxa"/>
            <w:gridSpan w:val="3"/>
          </w:tcPr>
          <w:p w:rsidR="00360676" w:rsidRPr="00212E99" w:rsidRDefault="00360676" w:rsidP="00AE3597"/>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t>Name</w:t>
            </w:r>
          </w:p>
        </w:tc>
        <w:tc>
          <w:tcPr>
            <w:tcW w:w="6916" w:type="dxa"/>
            <w:gridSpan w:val="2"/>
          </w:tcPr>
          <w:p w:rsidR="00360676" w:rsidRPr="002F34B2" w:rsidRDefault="002F34B2" w:rsidP="002F34B2">
            <w:pPr>
              <w:cnfStyle w:val="000000100000"/>
              <w:rPr>
                <w:b/>
                <w:bCs/>
                <w:sz w:val="24"/>
                <w:szCs w:val="24"/>
              </w:rPr>
            </w:pPr>
            <w:r w:rsidRPr="00A658E6">
              <w:rPr>
                <w:b/>
                <w:bCs/>
                <w:sz w:val="24"/>
                <w:szCs w:val="24"/>
              </w:rPr>
              <w:t xml:space="preserve">Wu </w:t>
            </w:r>
            <w:proofErr w:type="spellStart"/>
            <w:r w:rsidRPr="00A658E6">
              <w:rPr>
                <w:b/>
                <w:bCs/>
                <w:sz w:val="24"/>
                <w:szCs w:val="24"/>
              </w:rPr>
              <w:t>Xiaojiang</w:t>
            </w:r>
            <w:proofErr w:type="spellEnd"/>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Born</w:t>
            </w:r>
          </w:p>
        </w:tc>
        <w:tc>
          <w:tcPr>
            <w:tcW w:w="6916" w:type="dxa"/>
            <w:gridSpan w:val="2"/>
          </w:tcPr>
          <w:p w:rsidR="00360676" w:rsidRPr="00212E99"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Nationality</w:t>
            </w:r>
          </w:p>
        </w:tc>
        <w:tc>
          <w:tcPr>
            <w:tcW w:w="6916" w:type="dxa"/>
            <w:gridSpan w:val="2"/>
          </w:tcPr>
          <w:p w:rsidR="00360676" w:rsidRPr="00212E99" w:rsidRDefault="00360676" w:rsidP="00AE3597">
            <w:pPr>
              <w:cnfStyle w:val="000000100000"/>
            </w:pPr>
          </w:p>
        </w:tc>
        <w:tc>
          <w:tcPr>
            <w:tcW w:w="2526" w:type="dxa"/>
            <w:vMerge/>
          </w:tcPr>
          <w:p w:rsidR="00360676" w:rsidRDefault="00360676" w:rsidP="00AE3597">
            <w:pPr>
              <w:cnfStyle w:val="000000100000"/>
            </w:pP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Field</w:t>
            </w:r>
          </w:p>
        </w:tc>
        <w:tc>
          <w:tcPr>
            <w:tcW w:w="6916" w:type="dxa"/>
            <w:gridSpan w:val="2"/>
          </w:tcPr>
          <w:p w:rsidR="00360676" w:rsidRDefault="00360676" w:rsidP="00AE3597">
            <w:pPr>
              <w:cnfStyle w:val="000000000000"/>
            </w:pPr>
          </w:p>
        </w:tc>
        <w:tc>
          <w:tcPr>
            <w:tcW w:w="2526" w:type="dxa"/>
            <w:vMerge/>
          </w:tcPr>
          <w:p w:rsidR="00360676" w:rsidRDefault="00360676" w:rsidP="00AE3597">
            <w:pPr>
              <w:cnfStyle w:val="000000000000"/>
            </w:pPr>
          </w:p>
        </w:tc>
      </w:tr>
      <w:tr w:rsidR="00360676" w:rsidTr="00AE3597">
        <w:trPr>
          <w:cnfStyle w:val="000000100000"/>
          <w:trHeight w:val="294"/>
        </w:trPr>
        <w:tc>
          <w:tcPr>
            <w:cnfStyle w:val="001000000000"/>
            <w:tcW w:w="8548" w:type="dxa"/>
            <w:gridSpan w:val="3"/>
          </w:tcPr>
          <w:p w:rsidR="00360676" w:rsidRDefault="00360676" w:rsidP="00AE3597"/>
        </w:tc>
        <w:tc>
          <w:tcPr>
            <w:tcW w:w="2526" w:type="dxa"/>
            <w:vMerge/>
          </w:tcPr>
          <w:p w:rsidR="00360676" w:rsidRDefault="00360676" w:rsidP="00AE3597">
            <w:pPr>
              <w:cnfStyle w:val="000000100000"/>
              <w:rPr>
                <w:b/>
                <w:bCs/>
              </w:rPr>
            </w:pPr>
          </w:p>
        </w:tc>
      </w:tr>
      <w:tr w:rsidR="00360676" w:rsidTr="00AE3597">
        <w:trPr>
          <w:trHeight w:val="597"/>
        </w:trPr>
        <w:tc>
          <w:tcPr>
            <w:cnfStyle w:val="001000000000"/>
            <w:tcW w:w="1632" w:type="dxa"/>
          </w:tcPr>
          <w:p w:rsidR="00360676" w:rsidRDefault="00360676" w:rsidP="00AE3597">
            <w:r w:rsidRPr="00212E99">
              <w:rPr>
                <w:rFonts w:ascii="Calibri" w:eastAsia="Calibri" w:hAnsi="Calibri" w:cs="Arial"/>
                <w:color w:val="000000"/>
              </w:rPr>
              <w:t>Education</w:t>
            </w:r>
          </w:p>
        </w:tc>
        <w:tc>
          <w:tcPr>
            <w:tcW w:w="9442" w:type="dxa"/>
            <w:gridSpan w:val="3"/>
          </w:tcPr>
          <w:p w:rsidR="00360676" w:rsidRDefault="00360676" w:rsidP="00AE3597">
            <w:pPr>
              <w:cnfStyle w:val="000000000000"/>
            </w:pPr>
          </w:p>
        </w:tc>
      </w:tr>
      <w:tr w:rsidR="00360676" w:rsidTr="00AE3597">
        <w:trPr>
          <w:cnfStyle w:val="000000100000"/>
          <w:trHeight w:val="597"/>
        </w:trPr>
        <w:tc>
          <w:tcPr>
            <w:cnfStyle w:val="001000000000"/>
            <w:tcW w:w="1632" w:type="dxa"/>
          </w:tcPr>
          <w:p w:rsidR="00360676" w:rsidRDefault="00360676" w:rsidP="00AE3597">
            <w:r>
              <w:rPr>
                <w:rFonts w:ascii="Calibri" w:eastAsia="Calibri" w:hAnsi="Calibri" w:cs="Arial"/>
                <w:color w:val="000000"/>
              </w:rPr>
              <w:t>Publications</w:t>
            </w:r>
          </w:p>
        </w:tc>
        <w:tc>
          <w:tcPr>
            <w:tcW w:w="9442" w:type="dxa"/>
            <w:gridSpan w:val="3"/>
          </w:tcPr>
          <w:p w:rsidR="002F34B2" w:rsidRPr="00A658E6" w:rsidRDefault="002F34B2" w:rsidP="002F34B2">
            <w:pPr>
              <w:jc w:val="both"/>
              <w:cnfStyle w:val="000000100000"/>
              <w:rPr>
                <w:sz w:val="24"/>
                <w:szCs w:val="24"/>
              </w:rPr>
            </w:pPr>
            <w:r w:rsidRPr="00A658E6">
              <w:rPr>
                <w:sz w:val="24"/>
                <w:szCs w:val="24"/>
              </w:rPr>
              <w:t xml:space="preserve">· The Integration of Cultures: Facing the Tides of Modernization and </w:t>
            </w:r>
            <w:proofErr w:type="spellStart"/>
            <w:r w:rsidRPr="00A658E6">
              <w:rPr>
                <w:sz w:val="24"/>
                <w:szCs w:val="24"/>
              </w:rPr>
              <w:t>Postmodernization</w:t>
            </w:r>
            <w:proofErr w:type="spellEnd"/>
            <w:r w:rsidRPr="00A658E6">
              <w:rPr>
                <w:sz w:val="24"/>
                <w:szCs w:val="24"/>
              </w:rPr>
              <w:t xml:space="preserve">. Cultural Heritage and Contemporary Chance Series </w:t>
            </w:r>
            <w:proofErr w:type="spellStart"/>
            <w:r w:rsidRPr="00A658E6">
              <w:rPr>
                <w:sz w:val="24"/>
                <w:szCs w:val="24"/>
              </w:rPr>
              <w:t>VII</w:t>
            </w:r>
            <w:r w:rsidRPr="00A658E6">
              <w:rPr>
                <w:rFonts w:ascii="MS Mincho" w:eastAsia="MS Mincho" w:hAnsi="MS Mincho" w:cs="MS Mincho" w:hint="eastAsia"/>
                <w:sz w:val="24"/>
                <w:szCs w:val="24"/>
              </w:rPr>
              <w:t>，</w:t>
            </w:r>
            <w:r w:rsidRPr="00A658E6">
              <w:rPr>
                <w:sz w:val="24"/>
                <w:szCs w:val="24"/>
              </w:rPr>
              <w:t>Seminars</w:t>
            </w:r>
            <w:proofErr w:type="spellEnd"/>
            <w:r w:rsidRPr="00A658E6">
              <w:rPr>
                <w:sz w:val="24"/>
                <w:szCs w:val="24"/>
              </w:rPr>
              <w:t xml:space="preserve"> on Culture and Values, Volume 13, Cultural Identity, Pluralism and </w:t>
            </w:r>
            <w:proofErr w:type="spellStart"/>
            <w:r w:rsidRPr="00A658E6">
              <w:rPr>
                <w:sz w:val="24"/>
                <w:szCs w:val="24"/>
              </w:rPr>
              <w:t>Globlization</w:t>
            </w:r>
            <w:proofErr w:type="spellEnd"/>
            <w:r w:rsidRPr="00A658E6">
              <w:rPr>
                <w:sz w:val="24"/>
                <w:szCs w:val="24"/>
              </w:rPr>
              <w:t>, Chapter V. Copyright 2005 by The Council for Research in Values and Philosophy (Library of Congress Cataloging-in-Publication)</w:t>
            </w:r>
          </w:p>
          <w:p w:rsidR="002F34B2" w:rsidRPr="00A658E6" w:rsidRDefault="002F34B2" w:rsidP="002F34B2">
            <w:pPr>
              <w:jc w:val="both"/>
              <w:cnfStyle w:val="000000100000"/>
              <w:rPr>
                <w:sz w:val="24"/>
                <w:szCs w:val="24"/>
              </w:rPr>
            </w:pPr>
            <w:r w:rsidRPr="00A658E6">
              <w:rPr>
                <w:sz w:val="24"/>
                <w:szCs w:val="24"/>
              </w:rPr>
              <w:t>· Cultural Identity and Cultural Tradition. Cultural Heritage and Contemporary Chance, Series III, Volume 28, Cultural Heritage and Social Progress, Chapter XXVIII. Copyright 2011 by The Council for Research in Values and Philosophy (Library of Congress Cataloging-in-Publication).</w:t>
            </w:r>
          </w:p>
          <w:p w:rsidR="002F34B2" w:rsidRPr="00A658E6" w:rsidRDefault="002F34B2" w:rsidP="002F34B2">
            <w:pPr>
              <w:jc w:val="both"/>
              <w:cnfStyle w:val="000000100000"/>
              <w:rPr>
                <w:sz w:val="24"/>
                <w:szCs w:val="24"/>
              </w:rPr>
            </w:pPr>
            <w:r w:rsidRPr="00A658E6">
              <w:rPr>
                <w:sz w:val="24"/>
                <w:szCs w:val="24"/>
              </w:rPr>
              <w:t>· An Introduction to philosophy of Science (coauthor), Copyright 1991 by The Publishing House of Shanghai Education.</w:t>
            </w:r>
          </w:p>
          <w:p w:rsidR="002F34B2" w:rsidRPr="00A658E6" w:rsidRDefault="002F34B2" w:rsidP="002F34B2">
            <w:pPr>
              <w:jc w:val="both"/>
              <w:cnfStyle w:val="000000100000"/>
              <w:rPr>
                <w:sz w:val="24"/>
                <w:szCs w:val="24"/>
              </w:rPr>
            </w:pPr>
            <w:r w:rsidRPr="00A658E6">
              <w:rPr>
                <w:sz w:val="24"/>
                <w:szCs w:val="24"/>
              </w:rPr>
              <w:t>· The Spirit of Faust and the Western Culture of Science and Technology, Journal of Dialectics of Nature (sponsored by Chinese Academy of Sciences), Vol.31,No.5 2009.</w:t>
            </w:r>
          </w:p>
          <w:p w:rsidR="002F34B2" w:rsidRPr="00A658E6" w:rsidRDefault="002F34B2" w:rsidP="002F34B2">
            <w:pPr>
              <w:jc w:val="both"/>
              <w:cnfStyle w:val="000000100000"/>
              <w:rPr>
                <w:sz w:val="24"/>
                <w:szCs w:val="24"/>
              </w:rPr>
            </w:pPr>
            <w:r w:rsidRPr="00A658E6">
              <w:rPr>
                <w:sz w:val="24"/>
                <w:szCs w:val="24"/>
              </w:rPr>
              <w:t>·On the Cultural Value of Individuality in Promoting the Capacity for Independent Innovation. Collection of Selected English Theses of Shanghai Academy of Social Sciences, Series 10, Volume 3. Copyright 2008 by The Publishing House of Shanghai Academy of Social Sciences.</w:t>
            </w:r>
          </w:p>
          <w:p w:rsidR="00360676" w:rsidRDefault="00360676" w:rsidP="002F34B2">
            <w:pPr>
              <w:jc w:val="both"/>
              <w:cnfStyle w:val="000000100000"/>
            </w:pPr>
          </w:p>
        </w:tc>
      </w:tr>
      <w:tr w:rsidR="00360676" w:rsidTr="00AE3597">
        <w:trPr>
          <w:trHeight w:val="1204"/>
        </w:trPr>
        <w:tc>
          <w:tcPr>
            <w:cnfStyle w:val="001000000000"/>
            <w:tcW w:w="1632" w:type="dxa"/>
          </w:tcPr>
          <w:p w:rsidR="00360676" w:rsidRDefault="00360676" w:rsidP="00AE3597">
            <w:r>
              <w:rPr>
                <w:rFonts w:ascii="Calibri" w:eastAsia="Calibri" w:hAnsi="Calibri" w:cs="Arial"/>
                <w:color w:val="000000"/>
              </w:rPr>
              <w:t>Experience</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E-mail</w:t>
            </w:r>
          </w:p>
        </w:tc>
        <w:tc>
          <w:tcPr>
            <w:tcW w:w="9442" w:type="dxa"/>
            <w:gridSpan w:val="3"/>
          </w:tcPr>
          <w:p w:rsidR="00360676" w:rsidRDefault="002F34B2" w:rsidP="00AE3597">
            <w:pPr>
              <w:cnfStyle w:val="000000100000"/>
            </w:pPr>
            <w:hyperlink r:id="rId6" w:history="1">
              <w:r w:rsidRPr="00A658E6">
                <w:rPr>
                  <w:rStyle w:val="Hyperlink"/>
                  <w:sz w:val="24"/>
                  <w:szCs w:val="24"/>
                </w:rPr>
                <w:t>wxj@sass.org.cn</w:t>
              </w:r>
            </w:hyperlink>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Fax</w:t>
            </w:r>
          </w:p>
        </w:tc>
        <w:tc>
          <w:tcPr>
            <w:tcW w:w="9442" w:type="dxa"/>
            <w:gridSpan w:val="3"/>
          </w:tcPr>
          <w:p w:rsidR="00360676" w:rsidRDefault="00360676" w:rsidP="00AE3597">
            <w:pPr>
              <w:cnfStyle w:val="000000000000"/>
            </w:pPr>
          </w:p>
        </w:tc>
      </w:tr>
      <w:tr w:rsidR="00360676" w:rsidTr="00AE3597">
        <w:trPr>
          <w:cnfStyle w:val="000000100000"/>
          <w:trHeight w:val="294"/>
        </w:trPr>
        <w:tc>
          <w:tcPr>
            <w:cnfStyle w:val="001000000000"/>
            <w:tcW w:w="1632" w:type="dxa"/>
          </w:tcPr>
          <w:p w:rsidR="00360676" w:rsidRDefault="00360676" w:rsidP="00AE3597">
            <w:r w:rsidRPr="00212E99">
              <w:rPr>
                <w:rFonts w:ascii="Calibri" w:eastAsia="Calibri" w:hAnsi="Calibri" w:cs="Arial"/>
                <w:color w:val="000000"/>
              </w:rPr>
              <w:t>Phone</w:t>
            </w:r>
          </w:p>
        </w:tc>
        <w:tc>
          <w:tcPr>
            <w:tcW w:w="9442" w:type="dxa"/>
            <w:gridSpan w:val="3"/>
          </w:tcPr>
          <w:p w:rsidR="00360676" w:rsidRDefault="002F34B2" w:rsidP="00AE3597">
            <w:pPr>
              <w:cnfStyle w:val="000000100000"/>
            </w:pPr>
            <w:r w:rsidRPr="00A658E6">
              <w:rPr>
                <w:sz w:val="24"/>
                <w:szCs w:val="24"/>
              </w:rPr>
              <w:t>+86 21 64862266 29061</w:t>
            </w:r>
          </w:p>
        </w:tc>
      </w:tr>
      <w:tr w:rsidR="00360676" w:rsidTr="00AE3597">
        <w:trPr>
          <w:trHeight w:val="294"/>
        </w:trPr>
        <w:tc>
          <w:tcPr>
            <w:cnfStyle w:val="001000000000"/>
            <w:tcW w:w="1632" w:type="dxa"/>
          </w:tcPr>
          <w:p w:rsidR="00360676" w:rsidRDefault="00360676" w:rsidP="00AE3597">
            <w:r w:rsidRPr="00212E99">
              <w:rPr>
                <w:rFonts w:ascii="Calibri" w:eastAsia="Calibri" w:hAnsi="Calibri" w:cs="Arial"/>
                <w:color w:val="000000"/>
              </w:rPr>
              <w:t>Address</w:t>
            </w:r>
          </w:p>
        </w:tc>
        <w:tc>
          <w:tcPr>
            <w:tcW w:w="9442" w:type="dxa"/>
            <w:gridSpan w:val="3"/>
          </w:tcPr>
          <w:p w:rsidR="00360676" w:rsidRDefault="00360676" w:rsidP="00AE3597">
            <w:pPr>
              <w:cnfStyle w:val="000000000000"/>
            </w:pPr>
          </w:p>
        </w:tc>
      </w:tr>
    </w:tbl>
    <w:p w:rsidR="00360676" w:rsidRPr="00A55068" w:rsidRDefault="00360676" w:rsidP="00360676"/>
    <w:p w:rsidR="00535692" w:rsidRDefault="00535692"/>
    <w:sectPr w:rsidR="00535692"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5D87"/>
    <w:multiLevelType w:val="multilevel"/>
    <w:tmpl w:val="88C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676"/>
    <w:rsid w:val="000F6B7B"/>
    <w:rsid w:val="002F34B2"/>
    <w:rsid w:val="00360676"/>
    <w:rsid w:val="00535692"/>
    <w:rsid w:val="00594DB9"/>
    <w:rsid w:val="00B254D6"/>
    <w:rsid w:val="00CB5ABB"/>
    <w:rsid w:val="00CB5C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36067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360676"/>
    <w:rPr>
      <w:color w:val="0000FF"/>
      <w:u w:val="single"/>
    </w:rPr>
  </w:style>
  <w:style w:type="paragraph" w:styleId="BalloonText">
    <w:name w:val="Balloon Text"/>
    <w:basedOn w:val="Normal"/>
    <w:link w:val="BalloonTextChar"/>
    <w:uiPriority w:val="99"/>
    <w:semiHidden/>
    <w:unhideWhenUsed/>
    <w:rsid w:val="00360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xj@sass.org.c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fatima</cp:lastModifiedBy>
  <cp:revision>2</cp:revision>
  <dcterms:created xsi:type="dcterms:W3CDTF">2011-08-06T05:10:00Z</dcterms:created>
  <dcterms:modified xsi:type="dcterms:W3CDTF">2011-08-06T05:10:00Z</dcterms:modified>
</cp:coreProperties>
</file>