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86E00" w:rsidP="00AE3597">
            <w:pPr>
              <w:cnfStyle w:val="000000100000"/>
            </w:pPr>
            <w:r w:rsidRPr="00A86E00">
              <w:drawing>
                <wp:inline distT="0" distB="0" distL="0" distR="0">
                  <wp:extent cx="1107281" cy="1476375"/>
                  <wp:effectExtent l="19050" t="0" r="0" b="0"/>
                  <wp:docPr id="142" name="Picture 142" descr="http://history.uzsci.net/otdel/Isgraf/S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history.uzsci.net/otdel/Isgraf/S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281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86E00" w:rsidP="00A86E00">
            <w:pPr>
              <w:cnfStyle w:val="000000100000"/>
            </w:pPr>
            <w:r w:rsidRPr="002E4BBB">
              <w:t>SHAMUKARAMOVA FERUZA SHAKIROVNA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004A8F" w:rsidP="00AE3597">
            <w:pPr>
              <w:cnfStyle w:val="000000000000"/>
            </w:pPr>
            <w:r w:rsidRPr="00FB5856">
              <w:t>February 29, 1972, Uzbekistan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004A8F" w:rsidRPr="00FB5856" w:rsidRDefault="00004A8F" w:rsidP="00004A8F">
            <w:pPr>
              <w:cnfStyle w:val="000000000000"/>
            </w:pPr>
            <w:r w:rsidRPr="00FB5856">
              <w:t>1991-1996 Historical Faculty of Tashkent State</w:t>
            </w:r>
            <w:proofErr w:type="gramStart"/>
            <w:r w:rsidRPr="00FB5856">
              <w:t>  Pedagogical</w:t>
            </w:r>
            <w:proofErr w:type="gramEnd"/>
            <w:r w:rsidRPr="00FB5856">
              <w:t xml:space="preserve"> University named after </w:t>
            </w:r>
            <w:proofErr w:type="spellStart"/>
            <w:r w:rsidRPr="00FB5856">
              <w:t>Nizami</w:t>
            </w:r>
            <w:proofErr w:type="spellEnd"/>
            <w:r w:rsidRPr="00FB5856">
              <w:t xml:space="preserve"> Specialty – historian,  History teacher.</w:t>
            </w:r>
            <w:r w:rsidRPr="00FB5856">
              <w:br/>
              <w:t xml:space="preserve">1997-1999 - postgraduate course in Tashkent State Pedagogical University named after </w:t>
            </w:r>
            <w:proofErr w:type="spellStart"/>
            <w:r w:rsidRPr="00FB5856">
              <w:t>Nizami</w:t>
            </w:r>
            <w:proofErr w:type="spellEnd"/>
          </w:p>
          <w:p w:rsidR="00004A8F" w:rsidRPr="00FB5856" w:rsidRDefault="00004A8F" w:rsidP="00004A8F">
            <w:pPr>
              <w:cnfStyle w:val="000000000000"/>
            </w:pPr>
            <w:r w:rsidRPr="00FB5856">
              <w:t xml:space="preserve">Degree </w:t>
            </w:r>
          </w:p>
          <w:p w:rsidR="00004A8F" w:rsidRPr="00FB5856" w:rsidRDefault="00004A8F" w:rsidP="00004A8F">
            <w:pPr>
              <w:cnfStyle w:val="000000000000"/>
            </w:pPr>
            <w:r w:rsidRPr="00FB5856">
              <w:t>Ph.D. in History (2007, Institute of History, Academy of Sciences of the Republic of Uzbekistan)</w:t>
            </w:r>
          </w:p>
          <w:p w:rsidR="00004A8F" w:rsidRPr="00FB5856" w:rsidRDefault="00004A8F" w:rsidP="00004A8F">
            <w:pPr>
              <w:cnfStyle w:val="000000000000"/>
            </w:pPr>
            <w:r w:rsidRPr="00FB5856">
              <w:t xml:space="preserve">Scientific interests </w:t>
            </w:r>
          </w:p>
          <w:p w:rsidR="00004A8F" w:rsidRPr="00FB5856" w:rsidRDefault="00004A8F" w:rsidP="00004A8F">
            <w:pPr>
              <w:numPr>
                <w:ilvl w:val="0"/>
                <w:numId w:val="2"/>
              </w:numPr>
              <w:cnfStyle w:val="000000000000"/>
            </w:pPr>
            <w:r w:rsidRPr="00FB5856">
              <w:t>problems of History and Historiography of Uzbekistan, in particular the medieval period;</w:t>
            </w:r>
          </w:p>
          <w:p w:rsidR="00004A8F" w:rsidRPr="00FB5856" w:rsidRDefault="00004A8F" w:rsidP="00004A8F">
            <w:pPr>
              <w:numPr>
                <w:ilvl w:val="0"/>
                <w:numId w:val="2"/>
              </w:numPr>
              <w:cnfStyle w:val="000000000000"/>
            </w:pPr>
            <w:proofErr w:type="gramStart"/>
            <w:r w:rsidRPr="00FB5856">
              <w:t>problems</w:t>
            </w:r>
            <w:proofErr w:type="gramEnd"/>
            <w:r w:rsidRPr="00FB5856">
              <w:t xml:space="preserve"> of the History of statehood. </w:t>
            </w:r>
          </w:p>
          <w:p w:rsidR="00004A8F" w:rsidRPr="00FB5856" w:rsidRDefault="00004A8F" w:rsidP="00004A8F">
            <w:pPr>
              <w:cnfStyle w:val="000000000000"/>
            </w:pPr>
            <w:r w:rsidRPr="00FB5856">
              <w:t xml:space="preserve">Participation in International conferences </w:t>
            </w:r>
          </w:p>
          <w:p w:rsidR="00004A8F" w:rsidRPr="00FB5856" w:rsidRDefault="00004A8F" w:rsidP="00004A8F">
            <w:pPr>
              <w:numPr>
                <w:ilvl w:val="0"/>
                <w:numId w:val="3"/>
              </w:numPr>
              <w:cnfStyle w:val="000000000000"/>
            </w:pPr>
            <w:r w:rsidRPr="00FB5856">
              <w:t xml:space="preserve">2003 – presentation entitled «Creative work of 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</w:t>
            </w:r>
            <w:proofErr w:type="spellEnd"/>
            <w:r w:rsidRPr="00FB5856">
              <w:t xml:space="preserve">: the meeting of the East and the West» at the international conference held on 2-3 July, 2003 by the Institute of History of AS </w:t>
            </w:r>
            <w:proofErr w:type="spellStart"/>
            <w:r w:rsidRPr="00FB5856">
              <w:t>RUz</w:t>
            </w:r>
            <w:proofErr w:type="spellEnd"/>
            <w:r w:rsidRPr="00FB5856">
              <w:t xml:space="preserve"> jointly with the international organization IACAS from the Republic of South Korea entitled «Central Asia: ways of civilized development». </w:t>
            </w:r>
          </w:p>
          <w:p w:rsidR="00004A8F" w:rsidRPr="00FB5856" w:rsidRDefault="00004A8F" w:rsidP="00004A8F">
            <w:pPr>
              <w:numPr>
                <w:ilvl w:val="0"/>
                <w:numId w:val="3"/>
              </w:numPr>
              <w:cnfStyle w:val="000000000000"/>
            </w:pPr>
            <w:r w:rsidRPr="00FB5856">
              <w:t xml:space="preserve">13-14 August 2004 – presentation entitled «About the history of reconstruction of 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Ulugbek’s</w:t>
            </w:r>
            <w:proofErr w:type="spellEnd"/>
            <w:r w:rsidRPr="00FB5856">
              <w:t xml:space="preserve"> observatory» at the International conference, held in Tashkent by the International organization IACAS from South Korea jointly with the Institute of History AS </w:t>
            </w:r>
            <w:proofErr w:type="spellStart"/>
            <w:r w:rsidRPr="00FB5856">
              <w:t>RUz</w:t>
            </w:r>
            <w:proofErr w:type="spellEnd"/>
            <w:r w:rsidRPr="00FB5856">
              <w:t xml:space="preserve">. </w:t>
            </w:r>
          </w:p>
          <w:p w:rsidR="00004A8F" w:rsidRPr="00FB5856" w:rsidRDefault="00004A8F" w:rsidP="00004A8F">
            <w:pPr>
              <w:numPr>
                <w:ilvl w:val="0"/>
                <w:numId w:val="3"/>
              </w:numPr>
              <w:cnfStyle w:val="000000000000"/>
            </w:pPr>
            <w:r w:rsidRPr="00FB5856">
              <w:t xml:space="preserve">25-27 May 2007 - presentation on the theme «Peculiar features of studying the scientific heritage of 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</w:t>
            </w:r>
            <w:proofErr w:type="spellEnd"/>
            <w:r w:rsidRPr="00FB5856">
              <w:t xml:space="preserve"> in Uzbekistan in the 1920s-1980s» at the International Scientific Symposium entitled «The Role of Samarkand city in the history of world cultural development», devoted to the 2700-anniversary of the city of Samarkand. </w:t>
            </w:r>
          </w:p>
          <w:p w:rsidR="00004A8F" w:rsidRPr="00FB5856" w:rsidRDefault="00004A8F" w:rsidP="00004A8F">
            <w:pPr>
              <w:numPr>
                <w:ilvl w:val="0"/>
                <w:numId w:val="3"/>
              </w:numPr>
              <w:cnfStyle w:val="000000000000"/>
            </w:pPr>
            <w:r w:rsidRPr="00FB5856">
              <w:t>14-15 August 2007 – presentation on the topic «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Ulugbek’s</w:t>
            </w:r>
            <w:proofErr w:type="spellEnd"/>
            <w:r w:rsidRPr="00FB5856">
              <w:t xml:space="preserve"> scientific discoveries and their studying in world science» at the International Scientific Conference entitled «The Contribution of Uzbekistan to the development of Islamic civilization». </w:t>
            </w:r>
          </w:p>
          <w:p w:rsidR="00004A8F" w:rsidRPr="00FB5856" w:rsidRDefault="00004A8F" w:rsidP="00004A8F">
            <w:pPr>
              <w:cnfStyle w:val="000000000000"/>
            </w:pPr>
            <w:r w:rsidRPr="00FB5856">
              <w:t>Additional information</w:t>
            </w:r>
          </w:p>
          <w:p w:rsidR="00004A8F" w:rsidRPr="00FB5856" w:rsidRDefault="00004A8F" w:rsidP="00004A8F">
            <w:pPr>
              <w:numPr>
                <w:ilvl w:val="0"/>
                <w:numId w:val="4"/>
              </w:numPr>
              <w:cnfStyle w:val="000000000000"/>
            </w:pPr>
            <w:r w:rsidRPr="00FB5856">
              <w:t xml:space="preserve">Participated in </w:t>
            </w:r>
            <w:proofErr w:type="gramStart"/>
            <w:r w:rsidRPr="00FB5856">
              <w:t>I</w:t>
            </w:r>
            <w:proofErr w:type="gramEnd"/>
            <w:r w:rsidRPr="00FB5856">
              <w:t xml:space="preserve"> (Moscow) and II (St.-Petersburg) and III (Kishinev, Moldova) International Summer School of young historians held under the initiative of the Institute of Universal history of the Russian Academy of Sciences. </w:t>
            </w:r>
          </w:p>
          <w:p w:rsidR="00004A8F" w:rsidRPr="00FB5856" w:rsidRDefault="00004A8F" w:rsidP="00004A8F">
            <w:pPr>
              <w:numPr>
                <w:ilvl w:val="0"/>
                <w:numId w:val="4"/>
              </w:numPr>
              <w:cnfStyle w:val="000000000000"/>
            </w:pPr>
            <w:r w:rsidRPr="00FB5856">
              <w:t>Participated in organizing many international and republican scientific conferences. The coordinator of the projects – “The History of Uzbekistan”, Vol.III,</w:t>
            </w:r>
            <w:proofErr w:type="gramStart"/>
            <w:r w:rsidRPr="00FB5856">
              <w:t>  The</w:t>
            </w:r>
            <w:proofErr w:type="gramEnd"/>
            <w:r w:rsidRPr="00FB5856">
              <w:t xml:space="preserve"> State of Amir </w:t>
            </w:r>
            <w:proofErr w:type="spellStart"/>
            <w:r w:rsidRPr="00FB5856">
              <w:t>Temur</w:t>
            </w:r>
            <w:proofErr w:type="spellEnd"/>
            <w:r w:rsidRPr="00FB5856">
              <w:t xml:space="preserve"> and the </w:t>
            </w:r>
            <w:proofErr w:type="spellStart"/>
            <w:r w:rsidRPr="00FB5856">
              <w:t>Temurids</w:t>
            </w:r>
            <w:proofErr w:type="spellEnd"/>
            <w:r w:rsidRPr="00FB5856">
              <w:t xml:space="preserve">”; “The History of statehood of Uzbekistan”, three-volume edition which is being prepared by the Institute of History of AS </w:t>
            </w:r>
            <w:proofErr w:type="spellStart"/>
            <w:r w:rsidRPr="00FB5856">
              <w:t>RUz</w:t>
            </w:r>
            <w:proofErr w:type="spellEnd"/>
            <w:r w:rsidRPr="00FB5856">
              <w:t>.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004A8F" w:rsidRPr="00FB5856" w:rsidRDefault="00004A8F" w:rsidP="00004A8F">
            <w:pPr>
              <w:numPr>
                <w:ilvl w:val="0"/>
                <w:numId w:val="5"/>
              </w:numPr>
              <w:cnfStyle w:val="000000100000"/>
            </w:pPr>
            <w:r w:rsidRPr="00FB5856">
              <w:t xml:space="preserve">Modern historiography of life and work of 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rPr>
                <w:i/>
                <w:iCs/>
              </w:rPr>
              <w:t>Uzbekiston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tarikhi</w:t>
            </w:r>
            <w:proofErr w:type="spellEnd"/>
            <w:r w:rsidRPr="00FB5856">
              <w:t xml:space="preserve">. 2003. № 1. - pp. 43-49. </w:t>
            </w:r>
          </w:p>
          <w:p w:rsidR="00004A8F" w:rsidRPr="00FB5856" w:rsidRDefault="00004A8F" w:rsidP="00004A8F">
            <w:pPr>
              <w:numPr>
                <w:ilvl w:val="0"/>
                <w:numId w:val="5"/>
              </w:numPr>
              <w:cnfStyle w:val="000000100000"/>
            </w:pPr>
            <w:r w:rsidRPr="00FB5856">
              <w:t xml:space="preserve"> To the problem of observation of the initial stage of </w:t>
            </w:r>
            <w:proofErr w:type="spellStart"/>
            <w:r w:rsidRPr="00FB5856">
              <w:t>historiographic</w:t>
            </w:r>
            <w:proofErr w:type="spellEnd"/>
            <w:r w:rsidRPr="00FB5856">
              <w:t xml:space="preserve"> studying 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Ulugbek’s</w:t>
            </w:r>
            <w:proofErr w:type="spellEnd"/>
            <w:r w:rsidRPr="00FB5856">
              <w:t xml:space="preserve"> heritage in Turkestan / </w:t>
            </w:r>
            <w:r w:rsidRPr="00FB5856">
              <w:rPr>
                <w:i/>
                <w:iCs/>
              </w:rPr>
              <w:t xml:space="preserve">Academician </w:t>
            </w:r>
            <w:proofErr w:type="spellStart"/>
            <w:r w:rsidRPr="00FB5856">
              <w:rPr>
                <w:i/>
                <w:iCs/>
              </w:rPr>
              <w:t>Yakhyo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Gulomov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tavaludining</w:t>
            </w:r>
            <w:proofErr w:type="spellEnd"/>
            <w:r w:rsidRPr="00FB5856">
              <w:rPr>
                <w:i/>
                <w:iCs/>
              </w:rPr>
              <w:t xml:space="preserve"> 95 </w:t>
            </w:r>
            <w:proofErr w:type="spellStart"/>
            <w:r w:rsidRPr="00FB5856">
              <w:rPr>
                <w:i/>
                <w:iCs/>
              </w:rPr>
              <w:t>yilligi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ba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Tarikh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institutining</w:t>
            </w:r>
            <w:proofErr w:type="spellEnd"/>
            <w:r w:rsidRPr="00FB5856">
              <w:rPr>
                <w:i/>
                <w:iCs/>
              </w:rPr>
              <w:t xml:space="preserve"> 60 </w:t>
            </w:r>
            <w:proofErr w:type="spellStart"/>
            <w:r w:rsidRPr="00FB5856">
              <w:rPr>
                <w:i/>
                <w:iCs/>
              </w:rPr>
              <w:t>yilligiga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bagishlangan</w:t>
            </w:r>
            <w:proofErr w:type="spellEnd"/>
            <w:r w:rsidRPr="00FB5856">
              <w:rPr>
                <w:i/>
                <w:iCs/>
              </w:rPr>
              <w:t xml:space="preserve"> « </w:t>
            </w:r>
            <w:proofErr w:type="spellStart"/>
            <w:r w:rsidRPr="00FB5856">
              <w:rPr>
                <w:i/>
                <w:iCs/>
              </w:rPr>
              <w:t>Uzbekiston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tarikhi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va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arkheologiya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fanlarning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dolzarb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muammolari</w:t>
            </w:r>
            <w:proofErr w:type="spellEnd"/>
            <w:r w:rsidRPr="00FB5856">
              <w:rPr>
                <w:i/>
                <w:iCs/>
              </w:rPr>
              <w:t xml:space="preserve">» </w:t>
            </w:r>
            <w:proofErr w:type="spellStart"/>
            <w:r w:rsidRPr="00FB5856">
              <w:rPr>
                <w:i/>
                <w:iCs/>
              </w:rPr>
              <w:t>respublika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ilmiy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konferentsiya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materiallari</w:t>
            </w:r>
            <w:proofErr w:type="spellEnd"/>
            <w:r w:rsidRPr="00FB5856">
              <w:rPr>
                <w:i/>
                <w:iCs/>
              </w:rPr>
              <w:t>.</w:t>
            </w:r>
            <w:r w:rsidRPr="00FB5856">
              <w:t xml:space="preserve"> 27-28 November, 2003. - Samarkand - 2003. pp. 66-70. </w:t>
            </w:r>
          </w:p>
          <w:p w:rsidR="00004A8F" w:rsidRPr="00FB5856" w:rsidRDefault="00004A8F" w:rsidP="00004A8F">
            <w:pPr>
              <w:numPr>
                <w:ilvl w:val="0"/>
                <w:numId w:val="5"/>
              </w:numPr>
              <w:cnfStyle w:val="000000100000"/>
            </w:pPr>
            <w:r w:rsidRPr="00FB5856">
              <w:lastRenderedPageBreak/>
              <w:t> </w:t>
            </w:r>
            <w:proofErr w:type="spellStart"/>
            <w:r w:rsidRPr="00FB5856">
              <w:t>Shamukaramova</w:t>
            </w:r>
            <w:proofErr w:type="spellEnd"/>
            <w:r w:rsidRPr="00FB5856">
              <w:t xml:space="preserve"> F. Revival of 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Ulugbek’s</w:t>
            </w:r>
            <w:proofErr w:type="spellEnd"/>
            <w:r w:rsidRPr="00FB5856">
              <w:t xml:space="preserve"> observatory in the 20th century / The Fifth International Association of Central Asian Studies Conference « The 20th  Century in the History of Central Asia». August 13-14, 2004. Uzbekistan, Tashkent. pp. 53-54. </w:t>
            </w:r>
          </w:p>
          <w:p w:rsidR="00004A8F" w:rsidRPr="00FB5856" w:rsidRDefault="00004A8F" w:rsidP="00004A8F">
            <w:pPr>
              <w:numPr>
                <w:ilvl w:val="0"/>
                <w:numId w:val="5"/>
              </w:numPr>
              <w:cnfStyle w:val="000000100000"/>
            </w:pPr>
            <w:r w:rsidRPr="00FB5856">
              <w:t xml:space="preserve"> About the history of reconstruction of observatory // </w:t>
            </w:r>
            <w:proofErr w:type="spellStart"/>
            <w:r w:rsidRPr="00FB5856">
              <w:rPr>
                <w:i/>
                <w:iCs/>
              </w:rPr>
              <w:t>Idjtimoiy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Fikr</w:t>
            </w:r>
            <w:proofErr w:type="spellEnd"/>
            <w:r w:rsidRPr="00FB5856">
              <w:t xml:space="preserve">. 2005. № 1. pp. 158-162. </w:t>
            </w:r>
          </w:p>
          <w:p w:rsidR="00004A8F" w:rsidRPr="00FB5856" w:rsidRDefault="00004A8F" w:rsidP="00004A8F">
            <w:pPr>
              <w:numPr>
                <w:ilvl w:val="0"/>
                <w:numId w:val="5"/>
              </w:numPr>
              <w:cnfStyle w:val="000000100000"/>
            </w:pPr>
            <w:r w:rsidRPr="00FB5856">
              <w:t xml:space="preserve">About the history of preservation of the minaret of the 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Ulugbek’s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madrasah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rPr>
                <w:i/>
                <w:iCs/>
              </w:rPr>
              <w:t>Uzbekiston</w:t>
            </w:r>
            <w:proofErr w:type="spellEnd"/>
            <w:r w:rsidRPr="00FB5856">
              <w:rPr>
                <w:i/>
                <w:iCs/>
              </w:rPr>
              <w:t xml:space="preserve"> </w:t>
            </w:r>
            <w:proofErr w:type="spellStart"/>
            <w:r w:rsidRPr="00FB5856">
              <w:rPr>
                <w:i/>
                <w:iCs/>
              </w:rPr>
              <w:t>tarikhi</w:t>
            </w:r>
            <w:proofErr w:type="spellEnd"/>
            <w:r w:rsidRPr="00FB5856">
              <w:t xml:space="preserve">. 2006. № 1, pp. 15-23. </w:t>
            </w:r>
          </w:p>
          <w:p w:rsidR="00004A8F" w:rsidRPr="00FB5856" w:rsidRDefault="00004A8F" w:rsidP="00004A8F">
            <w:pPr>
              <w:numPr>
                <w:ilvl w:val="0"/>
                <w:numId w:val="5"/>
              </w:numPr>
              <w:cnfStyle w:val="000000100000"/>
            </w:pPr>
            <w:proofErr w:type="spellStart"/>
            <w:r w:rsidRPr="00FB5856">
              <w:t>Shamukaramova</w:t>
            </w:r>
            <w:proofErr w:type="spellEnd"/>
            <w:r w:rsidRPr="00FB5856">
              <w:t xml:space="preserve"> F. History of Reconstruction of the 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Ulugbek's</w:t>
            </w:r>
            <w:proofErr w:type="spellEnd"/>
            <w:r w:rsidRPr="00FB5856">
              <w:t xml:space="preserve"> Observatory // SEPHIS e-magazine. South-South Exchange </w:t>
            </w:r>
            <w:proofErr w:type="spellStart"/>
            <w:r w:rsidRPr="00FB5856">
              <w:t>Programme</w:t>
            </w:r>
            <w:proofErr w:type="spellEnd"/>
            <w:r w:rsidRPr="00FB5856">
              <w:t xml:space="preserve"> for Research on the History of Development. Vol. 2. No 3. May 2006. - pp. 26-28. </w:t>
            </w:r>
          </w:p>
          <w:p w:rsidR="00004A8F" w:rsidRPr="00FB5856" w:rsidRDefault="00004A8F" w:rsidP="00004A8F">
            <w:pPr>
              <w:numPr>
                <w:ilvl w:val="0"/>
                <w:numId w:val="5"/>
              </w:numPr>
              <w:cnfStyle w:val="000000100000"/>
            </w:pPr>
            <w:r w:rsidRPr="00FB5856">
              <w:t xml:space="preserve">About the history of search and discovering the 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Ulugbek's</w:t>
            </w:r>
            <w:proofErr w:type="spellEnd"/>
            <w:r w:rsidRPr="00FB5856">
              <w:t xml:space="preserve"> Observatory/ Collected works: Historical science in Uzbekistan: achievements and problems of development. - Tashkent, 2006, pp. 118-123. </w:t>
            </w:r>
          </w:p>
          <w:p w:rsidR="00004A8F" w:rsidRPr="00FB5856" w:rsidRDefault="00004A8F" w:rsidP="00004A8F">
            <w:pPr>
              <w:numPr>
                <w:ilvl w:val="0"/>
                <w:numId w:val="5"/>
              </w:numPr>
              <w:cnfStyle w:val="000000100000"/>
            </w:pPr>
            <w:r w:rsidRPr="00FB5856">
              <w:t xml:space="preserve">Life and creative work of 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</w:t>
            </w:r>
            <w:proofErr w:type="spellEnd"/>
            <w:r w:rsidRPr="00FB5856">
              <w:t xml:space="preserve"> in historiography of the 20th century: The author's abstract of the dissertation of the Candidate of Historical sciences. - Tashkent, 2006. 30 p. </w:t>
            </w:r>
          </w:p>
          <w:p w:rsidR="00004A8F" w:rsidRPr="00FB5856" w:rsidRDefault="00004A8F" w:rsidP="00004A8F">
            <w:pPr>
              <w:numPr>
                <w:ilvl w:val="0"/>
                <w:numId w:val="5"/>
              </w:numPr>
              <w:cnfStyle w:val="000000100000"/>
            </w:pPr>
            <w:r w:rsidRPr="00FB5856">
              <w:t xml:space="preserve">Peculiar features of studying the scientific heritage of 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</w:t>
            </w:r>
            <w:proofErr w:type="spellEnd"/>
            <w:r w:rsidRPr="00FB5856">
              <w:t xml:space="preserve"> in Uzbekistan in the 1920s-1980s / Proceedings of the International scientific symposium «The Role of Samarkand city in the history of world cultural development», devoted to the 2700-anniversary of the city of Samarkand. - Samarkand - Tashkent, 2007. pp. 192-196. </w:t>
            </w:r>
          </w:p>
          <w:p w:rsidR="00004A8F" w:rsidRPr="00FB5856" w:rsidRDefault="00004A8F" w:rsidP="00004A8F">
            <w:pPr>
              <w:numPr>
                <w:ilvl w:val="0"/>
                <w:numId w:val="5"/>
              </w:numPr>
              <w:cnfStyle w:val="000000100000"/>
            </w:pPr>
            <w:proofErr w:type="spellStart"/>
            <w:r w:rsidRPr="00FB5856">
              <w:t>Shamukaramova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F.Sh</w:t>
            </w:r>
            <w:proofErr w:type="spellEnd"/>
            <w:r w:rsidRPr="00FB5856">
              <w:t xml:space="preserve">. 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Ulugbek’s</w:t>
            </w:r>
            <w:proofErr w:type="spellEnd"/>
            <w:r w:rsidRPr="00FB5856">
              <w:t xml:space="preserve"> scientific discoveries and their studying in world science</w:t>
            </w:r>
            <w:proofErr w:type="gramStart"/>
            <w:r w:rsidRPr="00FB5856">
              <w:t>./</w:t>
            </w:r>
            <w:proofErr w:type="gramEnd"/>
            <w:r w:rsidRPr="00FB5856">
              <w:t xml:space="preserve"> Collected materials of the International Scientific conference «The Contribution of Uzbekistan to the development of Islamic civilization». - Tashkent, 2007. pp. 349-351. </w:t>
            </w:r>
          </w:p>
          <w:p w:rsidR="00004A8F" w:rsidRPr="00FB5856" w:rsidRDefault="00004A8F" w:rsidP="00004A8F">
            <w:pPr>
              <w:numPr>
                <w:ilvl w:val="0"/>
                <w:numId w:val="5"/>
              </w:numPr>
              <w:cnfStyle w:val="000000100000"/>
            </w:pPr>
            <w:r w:rsidRPr="00FB5856">
              <w:t xml:space="preserve">Historiography of studying the coins of </w:t>
            </w:r>
            <w:proofErr w:type="spellStart"/>
            <w:r w:rsidRPr="00FB5856">
              <w:t>Mirzo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Ulugbek’s</w:t>
            </w:r>
            <w:proofErr w:type="spellEnd"/>
            <w:r w:rsidRPr="00FB5856">
              <w:t xml:space="preserve"> era/ </w:t>
            </w:r>
            <w:proofErr w:type="spellStart"/>
            <w:r w:rsidRPr="00FB5856">
              <w:t>Transoxiana</w:t>
            </w:r>
            <w:proofErr w:type="spellEnd"/>
            <w:r w:rsidRPr="00FB5856">
              <w:t xml:space="preserve"> - </w:t>
            </w:r>
            <w:proofErr w:type="spellStart"/>
            <w:r w:rsidRPr="00FB5856">
              <w:t>Maverannakhr</w:t>
            </w:r>
            <w:proofErr w:type="spellEnd"/>
            <w:r w:rsidRPr="00FB5856">
              <w:t>. Collected works. - Tashkent, 2007. pp. 207-209.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004A8F" w:rsidRPr="00FB5856" w:rsidRDefault="00004A8F" w:rsidP="00004A8F">
            <w:pPr>
              <w:cnfStyle w:val="000000100000"/>
            </w:pPr>
            <w:hyperlink r:id="rId6" w:history="1">
              <w:r w:rsidRPr="00FB5856">
                <w:rPr>
                  <w:rStyle w:val="Hyperlink"/>
                </w:rPr>
                <w:t>shferuza@yandex.ru</w:t>
              </w:r>
            </w:hyperlink>
          </w:p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6AC5"/>
    <w:multiLevelType w:val="multilevel"/>
    <w:tmpl w:val="CE0A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14FD4"/>
    <w:multiLevelType w:val="multilevel"/>
    <w:tmpl w:val="911E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75EA4"/>
    <w:multiLevelType w:val="multilevel"/>
    <w:tmpl w:val="F4809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95995"/>
    <w:multiLevelType w:val="multilevel"/>
    <w:tmpl w:val="093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04A8F"/>
    <w:rsid w:val="000F6B7B"/>
    <w:rsid w:val="00360676"/>
    <w:rsid w:val="00535692"/>
    <w:rsid w:val="00A86E00"/>
    <w:rsid w:val="00B254D6"/>
    <w:rsid w:val="00CB5ABB"/>
    <w:rsid w:val="00CB5C1A"/>
    <w:rsid w:val="00E0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y-germanov@rambler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2011-08-07T10:37:00Z</dcterms:created>
  <dcterms:modified xsi:type="dcterms:W3CDTF">2011-08-07T10:38:00Z</dcterms:modified>
</cp:coreProperties>
</file>