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202A8" w:rsidP="00AE3597">
            <w:pPr>
              <w:cnfStyle w:val="000000100000"/>
            </w:pPr>
            <w:r w:rsidRPr="004202A8">
              <w:drawing>
                <wp:inline distT="0" distB="0" distL="0" distR="0">
                  <wp:extent cx="952500" cy="1400175"/>
                  <wp:effectExtent l="19050" t="0" r="0" b="0"/>
                  <wp:docPr id="98" name="Picture 98" descr="http://english.sass.org.cn/admin/upfiles/20091021155620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nglish.sass.org.cn/admin/upfiles/20091021155620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4202A8" w:rsidRDefault="004202A8" w:rsidP="004202A8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70EE8">
              <w:rPr>
                <w:b/>
                <w:bCs/>
                <w:sz w:val="24"/>
                <w:szCs w:val="24"/>
              </w:rPr>
              <w:t xml:space="preserve">Pan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Guang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4202A8" w:rsidRPr="00970EE8" w:rsidRDefault="004202A8" w:rsidP="004202A8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Pan </w:t>
            </w:r>
            <w:proofErr w:type="spellStart"/>
            <w:r w:rsidRPr="00970EE8">
              <w:rPr>
                <w:sz w:val="24"/>
                <w:szCs w:val="24"/>
              </w:rPr>
              <w:t>Guang</w:t>
            </w:r>
            <w:proofErr w:type="spellEnd"/>
            <w:r w:rsidRPr="00970EE8">
              <w:rPr>
                <w:sz w:val="24"/>
                <w:szCs w:val="24"/>
              </w:rPr>
              <w:t xml:space="preserve"> obtained his Ph.D. and M.A. of History at East China Normal University in Shanghai, and his B.A. of Political Science at </w:t>
            </w:r>
            <w:proofErr w:type="spellStart"/>
            <w:r w:rsidRPr="00970EE8">
              <w:rPr>
                <w:sz w:val="24"/>
                <w:szCs w:val="24"/>
              </w:rPr>
              <w:t>Renmin</w:t>
            </w:r>
            <w:proofErr w:type="spellEnd"/>
            <w:r w:rsidRPr="00970EE8">
              <w:rPr>
                <w:sz w:val="24"/>
                <w:szCs w:val="24"/>
              </w:rPr>
              <w:t xml:space="preserve"> University of China in Beijing. He is now the Director and Professor of Shanghai Center for International </w:t>
            </w:r>
            <w:proofErr w:type="spellStart"/>
            <w:r w:rsidRPr="00970EE8">
              <w:rPr>
                <w:sz w:val="24"/>
                <w:szCs w:val="24"/>
              </w:rPr>
              <w:t>Studies</w:t>
            </w:r>
            <w:proofErr w:type="gramStart"/>
            <w:r w:rsidRPr="00970EE8">
              <w:rPr>
                <w:sz w:val="24"/>
                <w:szCs w:val="24"/>
              </w:rPr>
              <w:t>,Professor</w:t>
            </w:r>
            <w:proofErr w:type="spellEnd"/>
            <w:proofErr w:type="gramEnd"/>
            <w:r w:rsidRPr="00970EE8">
              <w:rPr>
                <w:sz w:val="24"/>
                <w:szCs w:val="24"/>
              </w:rPr>
              <w:t xml:space="preserve"> of Institute of European &amp; Asian Studies at Shanghai Academy of Social Sciences (SASS), Vice Chairman of Chinese Society of Middle East Studies and Chairman of Shanghai Society of World History </w:t>
            </w:r>
            <w:proofErr w:type="spellStart"/>
            <w:r w:rsidRPr="00970EE8">
              <w:rPr>
                <w:sz w:val="24"/>
                <w:szCs w:val="24"/>
              </w:rPr>
              <w:t>Studies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Dean</w:t>
            </w:r>
            <w:proofErr w:type="spellEnd"/>
            <w:r w:rsidRPr="00970EE8">
              <w:rPr>
                <w:sz w:val="24"/>
                <w:szCs w:val="24"/>
              </w:rPr>
              <w:t xml:space="preserve"> of Center of Jewish Studies Shanghai (CJSS) and Director of Center for SCO (Shanghai Cooperation Organization) Studies at SASS.</w:t>
            </w:r>
          </w:p>
          <w:p w:rsidR="004202A8" w:rsidRPr="00970EE8" w:rsidRDefault="004202A8" w:rsidP="004202A8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He is also International Council Member of Asia Society in USA, Senior Advisor of China-Eurasia Forum in USA, Advisory Board Member of Asia Europe Journal (by ASEF) in Singapore and Senior Advisor on Anti-terror Affairs to Shanghai Municipality and Ministry of Public Security of PRC. He obtained 1993 James Friend Annual Memorial Award for Sino-Jewish Studies, 1996 Special Award for Research on Canadian Jews from China, Sankt Peterburg-300 Medal for Contribution to China-Russia Relations awarded by President Putin in 2004 and Austria Holocaust Memorial Award in 2006. He was nominated by UN Secretary-General Kofi Annan as member of the High-Level Group of the UN Alliance of Civilizations in 2005.</w:t>
            </w:r>
          </w:p>
          <w:p w:rsidR="00360676" w:rsidRDefault="004202A8" w:rsidP="004202A8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He has been doing research and giving lectures widely in North America, East Asia, Russia, Central Asia, Europe, Middle East and Australia. He holds a number of prestigious posts in Chinese institutions on International Studies, Asian Studies, Middle East Studies and Jewish Studies, and published books and articles on a variety of topics such as “The Jews in China”, “The Jews in Shanghai”, “The Jewish Civilization”, “2003: US War on Iraq”, “From Silk Road to ASEM: 2000 years of Asia-Europe Relations”, “A Comprehensive Study on Shanghai Cooperation Organization”, “China--Central Asia--Russia Relations”, “SCO and China’s Role in the War on Terrorism”, Contemporary International Crises”, “China’s Success in the Middle East”, “China’s Anti-terror Strategy and China-US Anti-terror Cooperation”, “Islam and Confucianism: the Development of Chinese Islam”, “Promoting the Exchange of Ethnic Culture in Asia and Europe”.</w:t>
            </w:r>
          </w:p>
          <w:p w:rsidR="004202A8" w:rsidRDefault="004202A8" w:rsidP="004202A8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202A8"/>
    <w:rsid w:val="00535692"/>
    <w:rsid w:val="00B254D6"/>
    <w:rsid w:val="00CB5ABB"/>
    <w:rsid w:val="00CB5C1A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2011-08-06T06:51:00Z</dcterms:created>
  <dcterms:modified xsi:type="dcterms:W3CDTF">2011-08-06T06:51:00Z</dcterms:modified>
</cp:coreProperties>
</file>