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144C63" w:rsidP="00AE3597">
            <w:pPr>
              <w:cnfStyle w:val="000000100000"/>
            </w:pPr>
            <w:r w:rsidRPr="00144C63">
              <w:drawing>
                <wp:inline distT="0" distB="0" distL="0" distR="0">
                  <wp:extent cx="1428750" cy="1933575"/>
                  <wp:effectExtent l="19050" t="0" r="0" b="0"/>
                  <wp:docPr id="1909" name="Picture 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5" cstate="print"/>
                          <a:srcRect/>
                          <a:stretch>
                            <a:fillRect/>
                          </a:stretch>
                        </pic:blipFill>
                        <pic:spPr bwMode="auto">
                          <a:xfrm>
                            <a:off x="0" y="0"/>
                            <a:ext cx="1428750" cy="1933575"/>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212E99" w:rsidRDefault="00144C63" w:rsidP="00144C63">
            <w:pPr>
              <w:spacing w:before="100" w:beforeAutospacing="1" w:after="100" w:afterAutospacing="1"/>
              <w:cnfStyle w:val="000000100000"/>
            </w:pPr>
            <w:proofErr w:type="spellStart"/>
            <w:r w:rsidRPr="00080E8E">
              <w:t>Morten</w:t>
            </w:r>
            <w:proofErr w:type="spellEnd"/>
            <w:r w:rsidRPr="00080E8E">
              <w:t xml:space="preserve"> </w:t>
            </w:r>
            <w:proofErr w:type="spellStart"/>
            <w:r w:rsidRPr="00080E8E">
              <w:t>Bergsmo</w:t>
            </w:r>
            <w:proofErr w:type="spellEnd"/>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144C63" w:rsidRPr="00080E8E" w:rsidRDefault="00144C63" w:rsidP="00144C63">
            <w:pPr>
              <w:cnfStyle w:val="000000000000"/>
            </w:pPr>
            <w:r w:rsidRPr="00080E8E">
              <w:t>2002-:  Doctor of Philosophy in International Law (Ph.D.), Cambridge University, St. John’s College.</w:t>
            </w:r>
          </w:p>
          <w:p w:rsidR="00144C63" w:rsidRPr="00080E8E" w:rsidRDefault="00144C63" w:rsidP="00144C63">
            <w:pPr>
              <w:cnfStyle w:val="000000000000"/>
            </w:pPr>
            <w:r w:rsidRPr="00080E8E">
              <w:t xml:space="preserve">1983-91:  </w:t>
            </w:r>
            <w:proofErr w:type="spellStart"/>
            <w:r w:rsidRPr="00080E8E">
              <w:t>Candidatus</w:t>
            </w:r>
            <w:proofErr w:type="spellEnd"/>
            <w:r w:rsidRPr="00080E8E">
              <w:t xml:space="preserve"> </w:t>
            </w:r>
            <w:proofErr w:type="spellStart"/>
            <w:r w:rsidRPr="00080E8E">
              <w:t>Juris</w:t>
            </w:r>
            <w:proofErr w:type="spellEnd"/>
            <w:r w:rsidRPr="00080E8E">
              <w:t>, University of Oslo, Faculty of Law.</w:t>
            </w:r>
          </w:p>
          <w:p w:rsidR="00144C63" w:rsidRPr="00080E8E" w:rsidRDefault="00144C63" w:rsidP="00144C63">
            <w:pPr>
              <w:cnfStyle w:val="000000000000"/>
            </w:pPr>
            <w:r w:rsidRPr="00080E8E">
              <w:t>1984:  Iranian studies, University of Copenhagen, Institute of Oriental Philology.</w:t>
            </w:r>
          </w:p>
          <w:p w:rsidR="00360676" w:rsidRDefault="00360676" w:rsidP="00AE3597">
            <w:pPr>
              <w:cnfStyle w:val="000000000000"/>
            </w:pPr>
          </w:p>
        </w:tc>
      </w:tr>
      <w:tr w:rsidR="00360676" w:rsidTr="00AE3597">
        <w:trPr>
          <w:cnfStyle w:val="000000100000"/>
          <w:trHeight w:val="59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144C63" w:rsidRPr="00080E8E" w:rsidRDefault="00144C63" w:rsidP="00144C63">
            <w:pPr>
              <w:cnfStyle w:val="000000100000"/>
            </w:pPr>
            <w:proofErr w:type="spellStart"/>
            <w:r w:rsidRPr="00080E8E">
              <w:t>Harpviken</w:t>
            </w:r>
            <w:proofErr w:type="spellEnd"/>
            <w:r w:rsidRPr="00080E8E">
              <w:t xml:space="preserve">, </w:t>
            </w:r>
            <w:proofErr w:type="spellStart"/>
            <w:r w:rsidRPr="00080E8E">
              <w:t>Kristian</w:t>
            </w:r>
            <w:proofErr w:type="spellEnd"/>
            <w:r w:rsidRPr="00080E8E">
              <w:t xml:space="preserve"> Berg &amp; </w:t>
            </w:r>
            <w:proofErr w:type="spellStart"/>
            <w:r w:rsidRPr="00080E8E">
              <w:t>Morten</w:t>
            </w:r>
            <w:proofErr w:type="spellEnd"/>
            <w:r w:rsidRPr="00080E8E">
              <w:t xml:space="preserve"> </w:t>
            </w:r>
            <w:proofErr w:type="spellStart"/>
            <w:r w:rsidRPr="00080E8E">
              <w:t>Bergsmo</w:t>
            </w:r>
            <w:proofErr w:type="spellEnd"/>
            <w:r w:rsidRPr="00080E8E">
              <w:t>, 2009. '</w:t>
            </w:r>
            <w:hyperlink r:id="rId6" w:history="1">
              <w:r w:rsidRPr="00080E8E">
                <w:rPr>
                  <w:rStyle w:val="Hyperlink"/>
                </w:rPr>
                <w:t xml:space="preserve">Afghanistan </w:t>
              </w:r>
              <w:proofErr w:type="spellStart"/>
              <w:r w:rsidRPr="00080E8E">
                <w:rPr>
                  <w:rStyle w:val="Hyperlink"/>
                </w:rPr>
                <w:t>og</w:t>
              </w:r>
              <w:proofErr w:type="spellEnd"/>
              <w:r w:rsidRPr="00080E8E">
                <w:rPr>
                  <w:rStyle w:val="Hyperlink"/>
                </w:rPr>
                <w:t xml:space="preserve"> </w:t>
              </w:r>
              <w:proofErr w:type="spellStart"/>
              <w:r w:rsidRPr="00080E8E">
                <w:rPr>
                  <w:rStyle w:val="Hyperlink"/>
                </w:rPr>
                <w:t>folkeretten</w:t>
              </w:r>
              <w:proofErr w:type="spellEnd"/>
              <w:r w:rsidRPr="00080E8E">
                <w:rPr>
                  <w:rStyle w:val="Hyperlink"/>
                </w:rPr>
                <w:t xml:space="preserve"> II</w:t>
              </w:r>
            </w:hyperlink>
            <w:r w:rsidRPr="00080E8E">
              <w:t xml:space="preserve">' [Afghanistan and International Humanitarian Law II], </w:t>
            </w:r>
            <w:r w:rsidRPr="00080E8E">
              <w:rPr>
                <w:i/>
                <w:iCs/>
              </w:rPr>
              <w:t>VG</w:t>
            </w:r>
            <w:r w:rsidRPr="00080E8E">
              <w:t xml:space="preserve">, 24 June. </w:t>
            </w:r>
          </w:p>
          <w:p w:rsidR="00144C63" w:rsidRPr="00080E8E" w:rsidRDefault="00144C63" w:rsidP="00144C63">
            <w:pPr>
              <w:cnfStyle w:val="000000100000"/>
            </w:pPr>
            <w:proofErr w:type="spellStart"/>
            <w:r w:rsidRPr="00080E8E">
              <w:t>Harpviken</w:t>
            </w:r>
            <w:proofErr w:type="spellEnd"/>
            <w:r w:rsidRPr="00080E8E">
              <w:t xml:space="preserve">, </w:t>
            </w:r>
            <w:proofErr w:type="spellStart"/>
            <w:r w:rsidRPr="00080E8E">
              <w:t>Kristian</w:t>
            </w:r>
            <w:proofErr w:type="spellEnd"/>
            <w:r w:rsidRPr="00080E8E">
              <w:t xml:space="preserve"> Berg &amp; </w:t>
            </w:r>
            <w:proofErr w:type="spellStart"/>
            <w:r w:rsidRPr="00080E8E">
              <w:t>Morten</w:t>
            </w:r>
            <w:proofErr w:type="spellEnd"/>
            <w:r w:rsidRPr="00080E8E">
              <w:t xml:space="preserve"> </w:t>
            </w:r>
            <w:proofErr w:type="spellStart"/>
            <w:r w:rsidRPr="00080E8E">
              <w:t>Bergsmo</w:t>
            </w:r>
            <w:proofErr w:type="spellEnd"/>
            <w:r w:rsidRPr="00080E8E">
              <w:t>, 2009. '</w:t>
            </w:r>
            <w:proofErr w:type="spellStart"/>
            <w:r>
              <w:fldChar w:fldCharType="begin"/>
            </w:r>
            <w:r>
              <w:instrText>HYPERLINK "http://www.prio.no/Research-and-Publications/Publication/?oid=189171"</w:instrText>
            </w:r>
            <w:r>
              <w:fldChar w:fldCharType="separate"/>
            </w:r>
            <w:r w:rsidRPr="00080E8E">
              <w:rPr>
                <w:rStyle w:val="Hyperlink"/>
              </w:rPr>
              <w:t>Folkeretten</w:t>
            </w:r>
            <w:proofErr w:type="spellEnd"/>
            <w:r w:rsidRPr="00080E8E">
              <w:rPr>
                <w:rStyle w:val="Hyperlink"/>
              </w:rPr>
              <w:t xml:space="preserve"> </w:t>
            </w:r>
            <w:proofErr w:type="spellStart"/>
            <w:r w:rsidRPr="00080E8E">
              <w:rPr>
                <w:rStyle w:val="Hyperlink"/>
              </w:rPr>
              <w:t>og</w:t>
            </w:r>
            <w:proofErr w:type="spellEnd"/>
            <w:r w:rsidRPr="00080E8E">
              <w:rPr>
                <w:rStyle w:val="Hyperlink"/>
              </w:rPr>
              <w:t xml:space="preserve"> Afghanistan</w:t>
            </w:r>
            <w:r>
              <w:fldChar w:fldCharType="end"/>
            </w:r>
            <w:r w:rsidRPr="00080E8E">
              <w:t xml:space="preserve">' [International Humanitarian Law and Afghanistan], </w:t>
            </w:r>
            <w:r w:rsidRPr="00080E8E">
              <w:rPr>
                <w:i/>
                <w:iCs/>
              </w:rPr>
              <w:t>VG</w:t>
            </w:r>
            <w:r w:rsidRPr="00080E8E">
              <w:t xml:space="preserve">, 29 May.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2009. '</w:t>
            </w:r>
            <w:hyperlink r:id="rId7" w:history="1">
              <w:r w:rsidRPr="00080E8E">
                <w:rPr>
                  <w:rStyle w:val="Hyperlink"/>
                </w:rPr>
                <w:t>The Theme of Selection and Prioritization Criteria and Why it is Relevant</w:t>
              </w:r>
            </w:hyperlink>
            <w:r w:rsidRPr="00080E8E">
              <w:t xml:space="preserve">' in </w:t>
            </w:r>
            <w:proofErr w:type="spellStart"/>
            <w:r w:rsidRPr="00080E8E">
              <w:t>Morten</w:t>
            </w:r>
            <w:proofErr w:type="spellEnd"/>
            <w:r w:rsidRPr="00080E8E">
              <w:t xml:space="preserve"> </w:t>
            </w:r>
            <w:proofErr w:type="spellStart"/>
            <w:r w:rsidRPr="00080E8E">
              <w:t>Bergsmo</w:t>
            </w:r>
            <w:proofErr w:type="spellEnd"/>
            <w:r w:rsidRPr="00080E8E">
              <w:t xml:space="preserve">, ed., </w:t>
            </w:r>
            <w:r w:rsidRPr="00080E8E">
              <w:rPr>
                <w:i/>
                <w:iCs/>
              </w:rPr>
              <w:t>Criteria for Prioritizing and Selecting Core International Crimes Cases</w:t>
            </w:r>
            <w:r w:rsidRPr="00080E8E">
              <w:t xml:space="preserve">. Oslo: (15–19).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&amp; </w:t>
            </w:r>
            <w:proofErr w:type="spellStart"/>
            <w:r w:rsidRPr="00080E8E">
              <w:t>Philippa</w:t>
            </w:r>
            <w:proofErr w:type="spellEnd"/>
            <w:r w:rsidRPr="00080E8E">
              <w:t xml:space="preserve"> Webb, 2009. '</w:t>
            </w:r>
            <w:hyperlink r:id="rId8" w:history="1">
              <w:r w:rsidRPr="00080E8E">
                <w:rPr>
                  <w:rStyle w:val="Hyperlink"/>
                </w:rPr>
                <w:t>Some Lessons for the International Criminal Court from the International Judicial Response to the Rwandan Genocide</w:t>
              </w:r>
            </w:hyperlink>
            <w:r w:rsidRPr="00080E8E">
              <w:t xml:space="preserve">' in Philip Clark &amp; Zachary Kaufman, </w:t>
            </w:r>
            <w:proofErr w:type="spellStart"/>
            <w:r w:rsidRPr="00080E8E">
              <w:t>eds</w:t>
            </w:r>
            <w:proofErr w:type="spellEnd"/>
            <w:r w:rsidRPr="00080E8E">
              <w:t xml:space="preserve">, </w:t>
            </w:r>
            <w:r w:rsidRPr="00080E8E">
              <w:rPr>
                <w:i/>
                <w:iCs/>
              </w:rPr>
              <w:t>After Genocide: Transitional Justice, Post-Conflict Reconstruction and Reconciliation in Rwanda and Beyond</w:t>
            </w:r>
            <w:r w:rsidRPr="00080E8E">
              <w:t xml:space="preserve">. Columbia: (351–361).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&amp; William H. Wiley, 2008. '</w:t>
            </w:r>
            <w:hyperlink r:id="rId9" w:history="1">
              <w:r w:rsidRPr="00080E8E">
                <w:rPr>
                  <w:rStyle w:val="Hyperlink"/>
                </w:rPr>
                <w:t>Human Rights Professionals and the Criminal Investigation and Prosecution of Core International Crimes</w:t>
              </w:r>
            </w:hyperlink>
            <w:r w:rsidRPr="00080E8E">
              <w:t xml:space="preserve">' in </w:t>
            </w:r>
            <w:proofErr w:type="spellStart"/>
            <w:r w:rsidRPr="00080E8E">
              <w:t>Siri</w:t>
            </w:r>
            <w:proofErr w:type="spellEnd"/>
            <w:r w:rsidRPr="00080E8E">
              <w:t xml:space="preserve"> </w:t>
            </w:r>
            <w:proofErr w:type="spellStart"/>
            <w:r w:rsidRPr="00080E8E">
              <w:t>Skåre</w:t>
            </w:r>
            <w:proofErr w:type="spellEnd"/>
            <w:r w:rsidRPr="00080E8E">
              <w:t xml:space="preserve">, </w:t>
            </w:r>
            <w:proofErr w:type="spellStart"/>
            <w:r w:rsidRPr="00080E8E">
              <w:t>Ingvild</w:t>
            </w:r>
            <w:proofErr w:type="spellEnd"/>
            <w:r w:rsidRPr="00080E8E">
              <w:t xml:space="preserve"> </w:t>
            </w:r>
            <w:proofErr w:type="spellStart"/>
            <w:r w:rsidRPr="00080E8E">
              <w:t>Burkey</w:t>
            </w:r>
            <w:proofErr w:type="spellEnd"/>
            <w:r w:rsidRPr="00080E8E">
              <w:t xml:space="preserve"> &amp; </w:t>
            </w:r>
            <w:proofErr w:type="spellStart"/>
            <w:r w:rsidRPr="00080E8E">
              <w:t>Hege</w:t>
            </w:r>
            <w:proofErr w:type="spellEnd"/>
            <w:r w:rsidRPr="00080E8E">
              <w:t xml:space="preserve"> </w:t>
            </w:r>
            <w:proofErr w:type="spellStart"/>
            <w:r w:rsidRPr="00080E8E">
              <w:t>Mørk</w:t>
            </w:r>
            <w:proofErr w:type="spellEnd"/>
            <w:r w:rsidRPr="00080E8E">
              <w:t xml:space="preserve">, </w:t>
            </w:r>
            <w:proofErr w:type="spellStart"/>
            <w:r w:rsidRPr="00080E8E">
              <w:t>eds</w:t>
            </w:r>
            <w:proofErr w:type="spellEnd"/>
            <w:r w:rsidRPr="00080E8E">
              <w:t xml:space="preserve">, </w:t>
            </w:r>
            <w:r w:rsidRPr="00080E8E">
              <w:rPr>
                <w:i/>
                <w:iCs/>
              </w:rPr>
              <w:t>Manual on Human Rights Monitoring</w:t>
            </w:r>
            <w:r w:rsidRPr="00080E8E">
              <w:t xml:space="preserve">. Oslo: (pp. 1–28).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&amp; </w:t>
            </w:r>
            <w:proofErr w:type="spellStart"/>
            <w:r w:rsidRPr="00080E8E">
              <w:t>Jelena</w:t>
            </w:r>
            <w:proofErr w:type="spellEnd"/>
            <w:r w:rsidRPr="00080E8E">
              <w:t xml:space="preserve"> </w:t>
            </w:r>
            <w:proofErr w:type="spellStart"/>
            <w:r w:rsidRPr="00080E8E">
              <w:t>Pejic</w:t>
            </w:r>
            <w:proofErr w:type="spellEnd"/>
            <w:r w:rsidRPr="00080E8E">
              <w:t>, 2008. '</w:t>
            </w:r>
            <w:hyperlink r:id="rId10" w:history="1">
              <w:r w:rsidRPr="00080E8E">
                <w:rPr>
                  <w:rStyle w:val="Hyperlink"/>
                </w:rPr>
                <w:t>Article 15: Prosecutor</w:t>
              </w:r>
            </w:hyperlink>
            <w:r w:rsidRPr="00080E8E">
              <w:t xml:space="preserve">' in Otto </w:t>
            </w:r>
            <w:proofErr w:type="spellStart"/>
            <w:r w:rsidRPr="00080E8E">
              <w:t>Triffterer</w:t>
            </w:r>
            <w:proofErr w:type="spellEnd"/>
            <w:r w:rsidRPr="00080E8E">
              <w:t xml:space="preserve">, ed., </w:t>
            </w:r>
            <w:r w:rsidRPr="00080E8E">
              <w:rPr>
                <w:i/>
                <w:iCs/>
              </w:rPr>
              <w:t>Commentary of the Rome Statute of the International Criminal Court</w:t>
            </w:r>
            <w:r w:rsidRPr="00080E8E">
              <w:t xml:space="preserve">. </w:t>
            </w:r>
            <w:proofErr w:type="spellStart"/>
            <w:r w:rsidRPr="00080E8E">
              <w:t>München</w:t>
            </w:r>
            <w:proofErr w:type="spellEnd"/>
            <w:r w:rsidRPr="00080E8E">
              <w:t xml:space="preserve">, Germany and Oxford, UK: (pp. 581–593).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&amp; </w:t>
            </w:r>
            <w:proofErr w:type="spellStart"/>
            <w:r w:rsidRPr="00080E8E">
              <w:t>Jelena</w:t>
            </w:r>
            <w:proofErr w:type="spellEnd"/>
            <w:r w:rsidRPr="00080E8E">
              <w:t xml:space="preserve"> </w:t>
            </w:r>
            <w:proofErr w:type="spellStart"/>
            <w:r w:rsidRPr="00080E8E">
              <w:t>Pejic</w:t>
            </w:r>
            <w:proofErr w:type="spellEnd"/>
            <w:r w:rsidRPr="00080E8E">
              <w:t>, 2008. '</w:t>
            </w:r>
            <w:hyperlink r:id="rId11" w:history="1">
              <w:r w:rsidRPr="00080E8E">
                <w:rPr>
                  <w:rStyle w:val="Hyperlink"/>
                </w:rPr>
                <w:t>Article 16: Deferral of Investigation or Prosecution</w:t>
              </w:r>
            </w:hyperlink>
            <w:r w:rsidRPr="00080E8E">
              <w:t xml:space="preserve">' in Otto </w:t>
            </w:r>
            <w:proofErr w:type="spellStart"/>
            <w:r w:rsidRPr="00080E8E">
              <w:t>Triffterer</w:t>
            </w:r>
            <w:proofErr w:type="spellEnd"/>
            <w:r w:rsidRPr="00080E8E">
              <w:t xml:space="preserve">, ed., </w:t>
            </w:r>
            <w:r w:rsidRPr="00080E8E">
              <w:rPr>
                <w:i/>
                <w:iCs/>
              </w:rPr>
              <w:t>Commentary of the Rome Statute of the International Criminal Court</w:t>
            </w:r>
            <w:r w:rsidRPr="00080E8E">
              <w:t xml:space="preserve">. </w:t>
            </w:r>
            <w:proofErr w:type="spellStart"/>
            <w:r w:rsidRPr="00080E8E">
              <w:t>München</w:t>
            </w:r>
            <w:proofErr w:type="spellEnd"/>
            <w:r w:rsidRPr="00080E8E">
              <w:t xml:space="preserve">, Germany and Oxford, UK: (pp. 595–604).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&amp; </w:t>
            </w:r>
            <w:proofErr w:type="spellStart"/>
            <w:r w:rsidRPr="00080E8E">
              <w:t>Frederik</w:t>
            </w:r>
            <w:proofErr w:type="spellEnd"/>
            <w:r w:rsidRPr="00080E8E">
              <w:t xml:space="preserve"> </w:t>
            </w:r>
            <w:proofErr w:type="spellStart"/>
            <w:r w:rsidRPr="00080E8E">
              <w:t>Harhoff</w:t>
            </w:r>
            <w:proofErr w:type="spellEnd"/>
            <w:r w:rsidRPr="00080E8E">
              <w:t>, 2008. '</w:t>
            </w:r>
            <w:hyperlink r:id="rId12" w:history="1">
              <w:r w:rsidRPr="00080E8E">
                <w:rPr>
                  <w:rStyle w:val="Hyperlink"/>
                </w:rPr>
                <w:t>Article 42: The Office of the Prosecutor</w:t>
              </w:r>
            </w:hyperlink>
            <w:r w:rsidRPr="00080E8E">
              <w:t xml:space="preserve">' in Otto </w:t>
            </w:r>
            <w:proofErr w:type="spellStart"/>
            <w:r w:rsidRPr="00080E8E">
              <w:t>Triffterer</w:t>
            </w:r>
            <w:proofErr w:type="spellEnd"/>
            <w:r w:rsidRPr="00080E8E">
              <w:t xml:space="preserve">, ed., </w:t>
            </w:r>
            <w:r w:rsidRPr="00080E8E">
              <w:rPr>
                <w:i/>
                <w:iCs/>
              </w:rPr>
              <w:t>Commentary of the Rome Statute of the International Criminal Court</w:t>
            </w:r>
            <w:r w:rsidRPr="00080E8E">
              <w:t xml:space="preserve">. </w:t>
            </w:r>
            <w:proofErr w:type="spellStart"/>
            <w:r w:rsidRPr="00080E8E">
              <w:t>München</w:t>
            </w:r>
            <w:proofErr w:type="spellEnd"/>
            <w:r w:rsidRPr="00080E8E">
              <w:t xml:space="preserve">, Germany and Oxford, UK: (pp. 971–979).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&amp; Pieter Kruger, 2008. '</w:t>
            </w:r>
            <w:hyperlink r:id="rId13" w:history="1">
              <w:r w:rsidRPr="00080E8E">
                <w:rPr>
                  <w:rStyle w:val="Hyperlink"/>
                </w:rPr>
                <w:t>Article 53: Initiation of an Investigation</w:t>
              </w:r>
            </w:hyperlink>
            <w:r w:rsidRPr="00080E8E">
              <w:t xml:space="preserve">' in Otto </w:t>
            </w:r>
            <w:proofErr w:type="spellStart"/>
            <w:r w:rsidRPr="00080E8E">
              <w:t>Triffterer</w:t>
            </w:r>
            <w:proofErr w:type="spellEnd"/>
            <w:r w:rsidRPr="00080E8E">
              <w:t xml:space="preserve">, ed., </w:t>
            </w:r>
            <w:r w:rsidRPr="00080E8E">
              <w:rPr>
                <w:i/>
                <w:iCs/>
              </w:rPr>
              <w:t>Commentary of the Rome Statute of the International Criminal Court</w:t>
            </w:r>
            <w:r w:rsidRPr="00080E8E">
              <w:t xml:space="preserve">. </w:t>
            </w:r>
            <w:proofErr w:type="spellStart"/>
            <w:r w:rsidRPr="00080E8E">
              <w:t>München</w:t>
            </w:r>
            <w:proofErr w:type="spellEnd"/>
            <w:r w:rsidRPr="00080E8E">
              <w:t xml:space="preserve">, Germany and Oxford, UK: (pp. 1065–1076).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&amp; Pieter Kruger, 2008. '</w:t>
            </w:r>
            <w:hyperlink r:id="rId14" w:history="1">
              <w:r w:rsidRPr="00080E8E">
                <w:rPr>
                  <w:rStyle w:val="Hyperlink"/>
                </w:rPr>
                <w:t>Article 54: Duties and Powers of the Prosecutor with respect to investigations</w:t>
              </w:r>
            </w:hyperlink>
            <w:r w:rsidRPr="00080E8E">
              <w:t xml:space="preserve">' in Otto </w:t>
            </w:r>
            <w:proofErr w:type="spellStart"/>
            <w:r w:rsidRPr="00080E8E">
              <w:t>Triffterer</w:t>
            </w:r>
            <w:proofErr w:type="spellEnd"/>
            <w:r w:rsidRPr="00080E8E">
              <w:t xml:space="preserve">, ed., </w:t>
            </w:r>
            <w:r w:rsidRPr="00080E8E">
              <w:rPr>
                <w:i/>
                <w:iCs/>
              </w:rPr>
              <w:t>Commentary of the Rome Statute of the International Criminal Court</w:t>
            </w:r>
            <w:r w:rsidRPr="00080E8E">
              <w:t xml:space="preserve">. </w:t>
            </w:r>
            <w:proofErr w:type="spellStart"/>
            <w:r w:rsidRPr="00080E8E">
              <w:t>Munchen</w:t>
            </w:r>
            <w:proofErr w:type="spellEnd"/>
            <w:r w:rsidRPr="00080E8E">
              <w:t xml:space="preserve">, Germany and Oxford, UK: (pp. 1077–1087).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&amp; Otto </w:t>
            </w:r>
            <w:proofErr w:type="spellStart"/>
            <w:r w:rsidRPr="00080E8E">
              <w:t>Triffterer</w:t>
            </w:r>
            <w:proofErr w:type="spellEnd"/>
            <w:r w:rsidRPr="00080E8E">
              <w:t>, 2008. '</w:t>
            </w:r>
            <w:hyperlink r:id="rId15" w:history="1">
              <w:r w:rsidRPr="00080E8E">
                <w:rPr>
                  <w:rStyle w:val="Hyperlink"/>
                </w:rPr>
                <w:t>Preamble</w:t>
              </w:r>
            </w:hyperlink>
            <w:r w:rsidRPr="00080E8E">
              <w:t xml:space="preserve">' in Otto </w:t>
            </w:r>
            <w:proofErr w:type="spellStart"/>
            <w:r w:rsidRPr="00080E8E">
              <w:t>Triffterer</w:t>
            </w:r>
            <w:proofErr w:type="spellEnd"/>
            <w:r w:rsidRPr="00080E8E">
              <w:t xml:space="preserve">, ed., </w:t>
            </w:r>
            <w:r w:rsidRPr="00080E8E">
              <w:rPr>
                <w:i/>
                <w:iCs/>
              </w:rPr>
              <w:t>Commentary on the Rome Statute of the International Criminal Court</w:t>
            </w:r>
            <w:r w:rsidRPr="00080E8E">
              <w:t xml:space="preserve">. </w:t>
            </w:r>
            <w:proofErr w:type="spellStart"/>
            <w:r w:rsidRPr="00080E8E">
              <w:t>München</w:t>
            </w:r>
            <w:proofErr w:type="spellEnd"/>
            <w:r w:rsidRPr="00080E8E">
              <w:t xml:space="preserve">, Germany and Oxford, UK: (pp. 1–14).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&amp; </w:t>
            </w:r>
            <w:proofErr w:type="spellStart"/>
            <w:r w:rsidRPr="00080E8E">
              <w:t>Morten</w:t>
            </w:r>
            <w:proofErr w:type="spellEnd"/>
            <w:r w:rsidRPr="00080E8E">
              <w:t xml:space="preserve"> </w:t>
            </w:r>
            <w:proofErr w:type="spellStart"/>
            <w:r w:rsidRPr="00080E8E">
              <w:t>Bergsmo</w:t>
            </w:r>
            <w:proofErr w:type="spellEnd"/>
            <w:r w:rsidRPr="00080E8E">
              <w:t>, 2008. '</w:t>
            </w:r>
            <w:proofErr w:type="spellStart"/>
            <w:r>
              <w:fldChar w:fldCharType="begin"/>
            </w:r>
            <w:r>
              <w:instrText>HYPERLINK "http://www.prio.no/Research-and-Publications/Publication/?oid=179904"</w:instrText>
            </w:r>
            <w:r>
              <w:fldChar w:fldCharType="separate"/>
            </w:r>
            <w:r w:rsidRPr="00080E8E">
              <w:rPr>
                <w:rStyle w:val="Hyperlink"/>
              </w:rPr>
              <w:t>Tematisk</w:t>
            </w:r>
            <w:proofErr w:type="spellEnd"/>
            <w:r w:rsidRPr="00080E8E">
              <w:rPr>
                <w:rStyle w:val="Hyperlink"/>
              </w:rPr>
              <w:t xml:space="preserve"> </w:t>
            </w:r>
            <w:proofErr w:type="spellStart"/>
            <w:r w:rsidRPr="00080E8E">
              <w:rPr>
                <w:rStyle w:val="Hyperlink"/>
              </w:rPr>
              <w:t>etterforskning</w:t>
            </w:r>
            <w:proofErr w:type="spellEnd"/>
            <w:r w:rsidRPr="00080E8E">
              <w:rPr>
                <w:rStyle w:val="Hyperlink"/>
              </w:rPr>
              <w:t xml:space="preserve"> </w:t>
            </w:r>
            <w:proofErr w:type="spellStart"/>
            <w:r w:rsidRPr="00080E8E">
              <w:rPr>
                <w:rStyle w:val="Hyperlink"/>
              </w:rPr>
              <w:t>og</w:t>
            </w:r>
            <w:proofErr w:type="spellEnd"/>
            <w:r w:rsidRPr="00080E8E">
              <w:rPr>
                <w:rStyle w:val="Hyperlink"/>
              </w:rPr>
              <w:t xml:space="preserve"> </w:t>
            </w:r>
            <w:proofErr w:type="spellStart"/>
            <w:r w:rsidRPr="00080E8E">
              <w:rPr>
                <w:rStyle w:val="Hyperlink"/>
              </w:rPr>
              <w:t>straffeforfølging</w:t>
            </w:r>
            <w:proofErr w:type="spellEnd"/>
            <w:r w:rsidRPr="00080E8E">
              <w:rPr>
                <w:rStyle w:val="Hyperlink"/>
              </w:rPr>
              <w:t xml:space="preserve"> </w:t>
            </w:r>
            <w:proofErr w:type="spellStart"/>
            <w:r w:rsidRPr="00080E8E">
              <w:rPr>
                <w:rStyle w:val="Hyperlink"/>
              </w:rPr>
              <w:t>av</w:t>
            </w:r>
            <w:proofErr w:type="spellEnd"/>
            <w:r w:rsidRPr="00080E8E">
              <w:rPr>
                <w:rStyle w:val="Hyperlink"/>
              </w:rPr>
              <w:t xml:space="preserve"> </w:t>
            </w:r>
            <w:proofErr w:type="spellStart"/>
            <w:r w:rsidRPr="00080E8E">
              <w:rPr>
                <w:rStyle w:val="Hyperlink"/>
              </w:rPr>
              <w:t>seksualisert</w:t>
            </w:r>
            <w:proofErr w:type="spellEnd"/>
            <w:r w:rsidRPr="00080E8E">
              <w:rPr>
                <w:rStyle w:val="Hyperlink"/>
              </w:rPr>
              <w:t xml:space="preserve"> </w:t>
            </w:r>
            <w:proofErr w:type="spellStart"/>
            <w:r w:rsidRPr="00080E8E">
              <w:rPr>
                <w:rStyle w:val="Hyperlink"/>
              </w:rPr>
              <w:t>vold</w:t>
            </w:r>
            <w:proofErr w:type="spellEnd"/>
            <w:r w:rsidRPr="00080E8E">
              <w:rPr>
                <w:rStyle w:val="Hyperlink"/>
              </w:rPr>
              <w:t xml:space="preserve"> </w:t>
            </w:r>
            <w:proofErr w:type="spellStart"/>
            <w:r w:rsidRPr="00080E8E">
              <w:rPr>
                <w:rStyle w:val="Hyperlink"/>
              </w:rPr>
              <w:t>i</w:t>
            </w:r>
            <w:proofErr w:type="spellEnd"/>
            <w:r w:rsidRPr="00080E8E">
              <w:rPr>
                <w:rStyle w:val="Hyperlink"/>
              </w:rPr>
              <w:t xml:space="preserve"> </w:t>
            </w:r>
            <w:proofErr w:type="spellStart"/>
            <w:r w:rsidRPr="00080E8E">
              <w:rPr>
                <w:rStyle w:val="Hyperlink"/>
              </w:rPr>
              <w:t>konflikt</w:t>
            </w:r>
            <w:proofErr w:type="spellEnd"/>
            <w:r w:rsidRPr="00080E8E">
              <w:rPr>
                <w:rStyle w:val="Hyperlink"/>
              </w:rPr>
              <w:t xml:space="preserve">: </w:t>
            </w:r>
            <w:proofErr w:type="spellStart"/>
            <w:r w:rsidRPr="00080E8E">
              <w:rPr>
                <w:rStyle w:val="Hyperlink"/>
              </w:rPr>
              <w:t>er</w:t>
            </w:r>
            <w:proofErr w:type="spellEnd"/>
            <w:r w:rsidRPr="00080E8E">
              <w:rPr>
                <w:rStyle w:val="Hyperlink"/>
              </w:rPr>
              <w:t xml:space="preserve"> </w:t>
            </w:r>
            <w:proofErr w:type="spellStart"/>
            <w:r w:rsidRPr="00080E8E">
              <w:rPr>
                <w:rStyle w:val="Hyperlink"/>
              </w:rPr>
              <w:t>det</w:t>
            </w:r>
            <w:proofErr w:type="spellEnd"/>
            <w:r w:rsidRPr="00080E8E">
              <w:rPr>
                <w:rStyle w:val="Hyperlink"/>
              </w:rPr>
              <w:t xml:space="preserve"> en </w:t>
            </w:r>
            <w:proofErr w:type="spellStart"/>
            <w:r w:rsidRPr="00080E8E">
              <w:rPr>
                <w:rStyle w:val="Hyperlink"/>
              </w:rPr>
              <w:t>uproblematisk</w:t>
            </w:r>
            <w:proofErr w:type="spellEnd"/>
            <w:r w:rsidRPr="00080E8E">
              <w:rPr>
                <w:rStyle w:val="Hyperlink"/>
              </w:rPr>
              <w:t xml:space="preserve"> </w:t>
            </w:r>
            <w:proofErr w:type="spellStart"/>
            <w:r w:rsidRPr="00080E8E">
              <w:rPr>
                <w:rStyle w:val="Hyperlink"/>
              </w:rPr>
              <w:t>praksis</w:t>
            </w:r>
            <w:proofErr w:type="spellEnd"/>
            <w:r w:rsidRPr="00080E8E">
              <w:rPr>
                <w:rStyle w:val="Hyperlink"/>
              </w:rPr>
              <w:t>?</w:t>
            </w:r>
            <w:r>
              <w:fldChar w:fldCharType="end"/>
            </w:r>
            <w:proofErr w:type="gramStart"/>
            <w:r w:rsidRPr="00080E8E">
              <w:t>' in</w:t>
            </w:r>
            <w:proofErr w:type="gramEnd"/>
            <w:r w:rsidRPr="00080E8E">
              <w:t xml:space="preserve"> </w:t>
            </w:r>
            <w:proofErr w:type="spellStart"/>
            <w:r w:rsidRPr="00080E8E">
              <w:t>Hege</w:t>
            </w:r>
            <w:proofErr w:type="spellEnd"/>
            <w:r w:rsidRPr="00080E8E">
              <w:t xml:space="preserve"> </w:t>
            </w:r>
            <w:proofErr w:type="spellStart"/>
            <w:r w:rsidRPr="00080E8E">
              <w:t>Skjeie</w:t>
            </w:r>
            <w:proofErr w:type="spellEnd"/>
            <w:r w:rsidRPr="00080E8E">
              <w:t xml:space="preserve">, </w:t>
            </w:r>
            <w:proofErr w:type="spellStart"/>
            <w:r w:rsidRPr="00080E8E">
              <w:t>Inger</w:t>
            </w:r>
            <w:proofErr w:type="spellEnd"/>
            <w:r w:rsidRPr="00080E8E">
              <w:t xml:space="preserve"> </w:t>
            </w:r>
            <w:proofErr w:type="spellStart"/>
            <w:r w:rsidRPr="00080E8E">
              <w:t>Skjelsbæk</w:t>
            </w:r>
            <w:proofErr w:type="spellEnd"/>
            <w:r w:rsidRPr="00080E8E">
              <w:t xml:space="preserve"> &amp; </w:t>
            </w:r>
            <w:proofErr w:type="spellStart"/>
            <w:r w:rsidRPr="00080E8E">
              <w:t>Torunn</w:t>
            </w:r>
            <w:proofErr w:type="spellEnd"/>
            <w:r w:rsidRPr="00080E8E">
              <w:t xml:space="preserve"> </w:t>
            </w:r>
            <w:r w:rsidRPr="00080E8E">
              <w:lastRenderedPageBreak/>
              <w:t xml:space="preserve">L. </w:t>
            </w:r>
            <w:proofErr w:type="spellStart"/>
            <w:r w:rsidRPr="00080E8E">
              <w:t>Tryggestad</w:t>
            </w:r>
            <w:proofErr w:type="spellEnd"/>
            <w:r w:rsidRPr="00080E8E">
              <w:t xml:space="preserve">, </w:t>
            </w:r>
            <w:proofErr w:type="spellStart"/>
            <w:r w:rsidRPr="00080E8E">
              <w:t>eds</w:t>
            </w:r>
            <w:proofErr w:type="spellEnd"/>
            <w:r w:rsidRPr="00080E8E">
              <w:t xml:space="preserve">, </w:t>
            </w:r>
            <w:proofErr w:type="spellStart"/>
            <w:r w:rsidRPr="00080E8E">
              <w:rPr>
                <w:i/>
                <w:iCs/>
              </w:rPr>
              <w:t>Kjønn</w:t>
            </w:r>
            <w:proofErr w:type="spellEnd"/>
            <w:r w:rsidRPr="00080E8E">
              <w:rPr>
                <w:i/>
                <w:iCs/>
              </w:rPr>
              <w:t xml:space="preserve">, </w:t>
            </w:r>
            <w:proofErr w:type="spellStart"/>
            <w:r w:rsidRPr="00080E8E">
              <w:rPr>
                <w:i/>
                <w:iCs/>
              </w:rPr>
              <w:t>krig</w:t>
            </w:r>
            <w:proofErr w:type="spellEnd"/>
            <w:r w:rsidRPr="00080E8E">
              <w:rPr>
                <w:i/>
                <w:iCs/>
              </w:rPr>
              <w:t xml:space="preserve"> </w:t>
            </w:r>
            <w:proofErr w:type="spellStart"/>
            <w:r w:rsidRPr="00080E8E">
              <w:rPr>
                <w:i/>
                <w:iCs/>
              </w:rPr>
              <w:t>og</w:t>
            </w:r>
            <w:proofErr w:type="spellEnd"/>
            <w:r w:rsidRPr="00080E8E">
              <w:rPr>
                <w:i/>
                <w:iCs/>
              </w:rPr>
              <w:t xml:space="preserve"> </w:t>
            </w:r>
            <w:proofErr w:type="spellStart"/>
            <w:r w:rsidRPr="00080E8E">
              <w:rPr>
                <w:i/>
                <w:iCs/>
              </w:rPr>
              <w:t>konflikt</w:t>
            </w:r>
            <w:proofErr w:type="spellEnd"/>
            <w:r w:rsidRPr="00080E8E">
              <w:t xml:space="preserve">. Oslo, Norway: (pp. 79 – 91). </w:t>
            </w:r>
          </w:p>
          <w:p w:rsidR="00144C63" w:rsidRPr="00080E8E" w:rsidRDefault="00144C63" w:rsidP="00144C63">
            <w:pPr>
              <w:cnfStyle w:val="000000100000"/>
            </w:pPr>
            <w:r w:rsidRPr="00080E8E">
              <w:t xml:space="preserve">Webb, </w:t>
            </w:r>
            <w:proofErr w:type="spellStart"/>
            <w:r w:rsidRPr="00080E8E">
              <w:t>Philippa</w:t>
            </w:r>
            <w:proofErr w:type="spellEnd"/>
            <w:r w:rsidRPr="00080E8E">
              <w:t xml:space="preserve"> &amp; </w:t>
            </w:r>
            <w:proofErr w:type="spellStart"/>
            <w:r w:rsidRPr="00080E8E">
              <w:t>Morten</w:t>
            </w:r>
            <w:proofErr w:type="spellEnd"/>
            <w:r w:rsidRPr="00080E8E">
              <w:t xml:space="preserve"> </w:t>
            </w:r>
            <w:proofErr w:type="spellStart"/>
            <w:r w:rsidRPr="00080E8E">
              <w:t>Bergsmo</w:t>
            </w:r>
            <w:proofErr w:type="spellEnd"/>
            <w:r w:rsidRPr="00080E8E">
              <w:t>, 2008. '</w:t>
            </w:r>
            <w:hyperlink r:id="rId16" w:history="1">
              <w:r w:rsidRPr="00080E8E">
                <w:rPr>
                  <w:rStyle w:val="Hyperlink"/>
                </w:rPr>
                <w:t xml:space="preserve">International Criminal Courts and Tribunals, </w:t>
              </w:r>
              <w:proofErr w:type="spellStart"/>
              <w:r w:rsidRPr="00080E8E">
                <w:rPr>
                  <w:rStyle w:val="Hyperlink"/>
                </w:rPr>
                <w:t>Complementarity</w:t>
              </w:r>
              <w:proofErr w:type="spellEnd"/>
              <w:r w:rsidRPr="00080E8E">
                <w:rPr>
                  <w:rStyle w:val="Hyperlink"/>
                </w:rPr>
                <w:t xml:space="preserve"> and Jurisdiction</w:t>
              </w:r>
            </w:hyperlink>
            <w:r w:rsidRPr="00080E8E">
              <w:t xml:space="preserve">' in Rudolf Bernhardt, ed., </w:t>
            </w:r>
            <w:r w:rsidRPr="00080E8E">
              <w:rPr>
                <w:i/>
                <w:iCs/>
              </w:rPr>
              <w:t>The Max Planck Encyclopedia of Public International Law</w:t>
            </w:r>
            <w:r w:rsidRPr="00080E8E">
              <w:t>. Online Edition</w:t>
            </w:r>
            <w:proofErr w:type="gramStart"/>
            <w:r w:rsidRPr="00080E8E">
              <w:t>: .</w:t>
            </w:r>
            <w:proofErr w:type="gramEnd"/>
            <w:r w:rsidRPr="00080E8E">
              <w:t xml:space="preserve">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&amp; </w:t>
            </w:r>
            <w:proofErr w:type="spellStart"/>
            <w:r w:rsidRPr="00080E8E">
              <w:t>Philippa</w:t>
            </w:r>
            <w:proofErr w:type="spellEnd"/>
            <w:r w:rsidRPr="00080E8E">
              <w:t xml:space="preserve"> Webb, 2007. '</w:t>
            </w:r>
            <w:hyperlink r:id="rId17" w:history="1">
              <w:r w:rsidRPr="00080E8E">
                <w:rPr>
                  <w:rStyle w:val="Hyperlink"/>
                </w:rPr>
                <w:t>Innovations at the International Criminal Court: Bringing New Technologies into the Investigation and Prosecution of Core International Crimes</w:t>
              </w:r>
            </w:hyperlink>
            <w:r w:rsidRPr="00080E8E">
              <w:t xml:space="preserve">' in H. </w:t>
            </w:r>
            <w:proofErr w:type="spellStart"/>
            <w:r w:rsidRPr="00080E8E">
              <w:t>Radtke</w:t>
            </w:r>
            <w:proofErr w:type="spellEnd"/>
            <w:r w:rsidRPr="00080E8E">
              <w:t xml:space="preserve">, D. </w:t>
            </w:r>
            <w:proofErr w:type="spellStart"/>
            <w:r w:rsidRPr="00080E8E">
              <w:t>Rössner</w:t>
            </w:r>
            <w:proofErr w:type="spellEnd"/>
            <w:r w:rsidRPr="00080E8E">
              <w:t xml:space="preserve">, T. Schiller &amp; W. Form, </w:t>
            </w:r>
            <w:proofErr w:type="spellStart"/>
            <w:r w:rsidRPr="00080E8E">
              <w:t>eds</w:t>
            </w:r>
            <w:proofErr w:type="spellEnd"/>
            <w:r w:rsidRPr="00080E8E">
              <w:t xml:space="preserve">, </w:t>
            </w:r>
            <w:proofErr w:type="spellStart"/>
            <w:r w:rsidRPr="00080E8E">
              <w:rPr>
                <w:i/>
                <w:iCs/>
              </w:rPr>
              <w:t>Historische</w:t>
            </w:r>
            <w:proofErr w:type="spellEnd"/>
            <w:r w:rsidRPr="00080E8E">
              <w:rPr>
                <w:i/>
                <w:iCs/>
              </w:rPr>
              <w:t xml:space="preserve"> </w:t>
            </w:r>
            <w:proofErr w:type="spellStart"/>
            <w:r w:rsidRPr="00080E8E">
              <w:rPr>
                <w:i/>
                <w:iCs/>
              </w:rPr>
              <w:t>Dimensionen</w:t>
            </w:r>
            <w:proofErr w:type="spellEnd"/>
            <w:r w:rsidRPr="00080E8E">
              <w:rPr>
                <w:i/>
                <w:iCs/>
              </w:rPr>
              <w:t xml:space="preserve"> von </w:t>
            </w:r>
            <w:proofErr w:type="spellStart"/>
            <w:r w:rsidRPr="00080E8E">
              <w:rPr>
                <w:i/>
                <w:iCs/>
              </w:rPr>
              <w:t>Krigsverbrecherprozessen</w:t>
            </w:r>
            <w:proofErr w:type="spellEnd"/>
            <w:r w:rsidRPr="00080E8E">
              <w:rPr>
                <w:i/>
                <w:iCs/>
              </w:rPr>
              <w:t xml:space="preserve"> </w:t>
            </w:r>
            <w:proofErr w:type="spellStart"/>
            <w:r w:rsidRPr="00080E8E">
              <w:rPr>
                <w:i/>
                <w:iCs/>
              </w:rPr>
              <w:t>nach</w:t>
            </w:r>
            <w:proofErr w:type="spellEnd"/>
            <w:r w:rsidRPr="00080E8E">
              <w:rPr>
                <w:i/>
                <w:iCs/>
              </w:rPr>
              <w:t xml:space="preserve"> </w:t>
            </w:r>
            <w:proofErr w:type="spellStart"/>
            <w:r w:rsidRPr="00080E8E">
              <w:rPr>
                <w:i/>
                <w:iCs/>
              </w:rPr>
              <w:t>dem</w:t>
            </w:r>
            <w:proofErr w:type="spellEnd"/>
            <w:r w:rsidRPr="00080E8E">
              <w:rPr>
                <w:i/>
                <w:iCs/>
              </w:rPr>
              <w:t xml:space="preserve"> </w:t>
            </w:r>
            <w:proofErr w:type="spellStart"/>
            <w:r w:rsidRPr="00080E8E">
              <w:rPr>
                <w:i/>
                <w:iCs/>
              </w:rPr>
              <w:t>Zweiten</w:t>
            </w:r>
            <w:proofErr w:type="spellEnd"/>
            <w:r w:rsidRPr="00080E8E">
              <w:rPr>
                <w:i/>
                <w:iCs/>
              </w:rPr>
              <w:t xml:space="preserve"> </w:t>
            </w:r>
            <w:proofErr w:type="spellStart"/>
            <w:r w:rsidRPr="00080E8E">
              <w:rPr>
                <w:i/>
                <w:iCs/>
              </w:rPr>
              <w:t>Weltkrieg</w:t>
            </w:r>
            <w:proofErr w:type="spellEnd"/>
            <w:r w:rsidRPr="00080E8E">
              <w:t xml:space="preserve">. </w:t>
            </w:r>
            <w:proofErr w:type="spellStart"/>
            <w:r w:rsidRPr="00080E8E">
              <w:t>Nomos</w:t>
            </w:r>
            <w:proofErr w:type="spellEnd"/>
            <w:r w:rsidRPr="00080E8E">
              <w:t xml:space="preserve">: (pp. 205–212). </w:t>
            </w:r>
          </w:p>
          <w:p w:rsidR="00144C63" w:rsidRPr="00080E8E" w:rsidRDefault="00144C63" w:rsidP="00144C63">
            <w:pPr>
              <w:cnfStyle w:val="000000100000"/>
            </w:pPr>
            <w:r w:rsidRPr="00080E8E">
              <w:t xml:space="preserve">Other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2009. Review of Edward Granville Browne, ed., '</w:t>
            </w:r>
            <w:hyperlink r:id="rId18" w:history="1">
              <w:r w:rsidRPr="00080E8E">
                <w:rPr>
                  <w:rStyle w:val="Hyperlink"/>
                </w:rPr>
                <w:t xml:space="preserve">Letters from Tabriz: The Russian Suppression of the Iranian </w:t>
              </w:r>
              <w:proofErr w:type="spellStart"/>
              <w:r w:rsidRPr="00080E8E">
                <w:rPr>
                  <w:rStyle w:val="Hyperlink"/>
                </w:rPr>
                <w:t>Constotutional</w:t>
              </w:r>
              <w:proofErr w:type="spellEnd"/>
              <w:r w:rsidRPr="00080E8E">
                <w:rPr>
                  <w:rStyle w:val="Hyperlink"/>
                </w:rPr>
                <w:t xml:space="preserve"> Movement</w:t>
              </w:r>
            </w:hyperlink>
            <w:r w:rsidRPr="00080E8E">
              <w:t xml:space="preserve">' in </w:t>
            </w:r>
            <w:r w:rsidRPr="00080E8E">
              <w:rPr>
                <w:i/>
                <w:iCs/>
              </w:rPr>
              <w:t>Journal of Peace Research</w:t>
            </w:r>
            <w:r w:rsidRPr="00080E8E">
              <w:t xml:space="preserve"> 46(3): 453.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2008. Review of Dominic </w:t>
            </w:r>
            <w:proofErr w:type="spellStart"/>
            <w:r w:rsidRPr="00080E8E">
              <w:t>Parviz</w:t>
            </w:r>
            <w:proofErr w:type="spellEnd"/>
            <w:r w:rsidRPr="00080E8E">
              <w:t xml:space="preserve"> </w:t>
            </w:r>
            <w:proofErr w:type="spellStart"/>
            <w:r w:rsidRPr="00080E8E">
              <w:t>Brookshaw</w:t>
            </w:r>
            <w:proofErr w:type="spellEnd"/>
            <w:r w:rsidRPr="00080E8E">
              <w:t xml:space="preserve"> &amp; </w:t>
            </w:r>
            <w:proofErr w:type="spellStart"/>
            <w:r w:rsidRPr="00080E8E">
              <w:t>Seena</w:t>
            </w:r>
            <w:proofErr w:type="spellEnd"/>
            <w:r w:rsidRPr="00080E8E">
              <w:t xml:space="preserve"> B. </w:t>
            </w:r>
            <w:proofErr w:type="spellStart"/>
            <w:r w:rsidRPr="00080E8E">
              <w:t>Fazel</w:t>
            </w:r>
            <w:proofErr w:type="spellEnd"/>
            <w:r w:rsidRPr="00080E8E">
              <w:t xml:space="preserve">, </w:t>
            </w:r>
            <w:proofErr w:type="spellStart"/>
            <w:r w:rsidRPr="00080E8E">
              <w:t>eds</w:t>
            </w:r>
            <w:proofErr w:type="spellEnd"/>
            <w:r w:rsidRPr="00080E8E">
              <w:t xml:space="preserve">, </w:t>
            </w:r>
            <w:proofErr w:type="gramStart"/>
            <w:r w:rsidRPr="00080E8E">
              <w:t>'</w:t>
            </w:r>
            <w:hyperlink r:id="rId19" w:history="1">
              <w:r w:rsidRPr="00080E8E">
                <w:rPr>
                  <w:rStyle w:val="Hyperlink"/>
                </w:rPr>
                <w:t>The Baha'is of Iran: Socio-Historical Studies</w:t>
              </w:r>
            </w:hyperlink>
            <w:proofErr w:type="gramEnd"/>
            <w:r w:rsidRPr="00080E8E">
              <w:t xml:space="preserve">' in </w:t>
            </w:r>
            <w:r w:rsidRPr="00080E8E">
              <w:rPr>
                <w:i/>
                <w:iCs/>
              </w:rPr>
              <w:t>Journal of Peace Research</w:t>
            </w:r>
            <w:r w:rsidRPr="00080E8E">
              <w:t xml:space="preserve"> 45(6): 851. </w:t>
            </w:r>
          </w:p>
          <w:p w:rsidR="00144C63" w:rsidRPr="00080E8E"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2008. Review of </w:t>
            </w:r>
            <w:proofErr w:type="spellStart"/>
            <w:r w:rsidRPr="00080E8E">
              <w:t>Jubin</w:t>
            </w:r>
            <w:proofErr w:type="spellEnd"/>
            <w:r w:rsidRPr="00080E8E">
              <w:t xml:space="preserve"> </w:t>
            </w:r>
            <w:proofErr w:type="spellStart"/>
            <w:r w:rsidRPr="00080E8E">
              <w:t>Goodarzi</w:t>
            </w:r>
            <w:proofErr w:type="spellEnd"/>
            <w:r w:rsidRPr="00080E8E">
              <w:t>, ed., '</w:t>
            </w:r>
            <w:hyperlink r:id="rId20" w:history="1">
              <w:r w:rsidRPr="00080E8E">
                <w:rPr>
                  <w:rStyle w:val="Hyperlink"/>
                </w:rPr>
                <w:t>Syria and Iran: Diplomatic Alliance and Power Politics in the Middle East</w:t>
              </w:r>
            </w:hyperlink>
            <w:r w:rsidRPr="00080E8E">
              <w:t xml:space="preserve">' in </w:t>
            </w:r>
            <w:r w:rsidRPr="00080E8E">
              <w:rPr>
                <w:i/>
                <w:iCs/>
              </w:rPr>
              <w:t>Journal of Peace Research</w:t>
            </w:r>
            <w:r w:rsidRPr="00080E8E">
              <w:t xml:space="preserve"> 45(2): 303–4. </w:t>
            </w:r>
          </w:p>
          <w:p w:rsidR="00360676" w:rsidRDefault="00144C63" w:rsidP="00144C63">
            <w:pPr>
              <w:cnfStyle w:val="000000100000"/>
            </w:pPr>
            <w:proofErr w:type="spellStart"/>
            <w:r w:rsidRPr="00080E8E">
              <w:t>Bergsmo</w:t>
            </w:r>
            <w:proofErr w:type="spellEnd"/>
            <w:r w:rsidRPr="00080E8E">
              <w:t xml:space="preserve">, </w:t>
            </w:r>
            <w:proofErr w:type="spellStart"/>
            <w:r w:rsidRPr="00080E8E">
              <w:t>Morten</w:t>
            </w:r>
            <w:proofErr w:type="spellEnd"/>
            <w:r w:rsidRPr="00080E8E">
              <w:t xml:space="preserve">, 2008. Review of Kingsley </w:t>
            </w:r>
            <w:proofErr w:type="spellStart"/>
            <w:r w:rsidRPr="00080E8E">
              <w:t>Moghalu</w:t>
            </w:r>
            <w:proofErr w:type="spellEnd"/>
            <w:r w:rsidRPr="00080E8E">
              <w:t>, ed., '</w:t>
            </w:r>
            <w:hyperlink r:id="rId21" w:history="1">
              <w:r w:rsidRPr="00080E8E">
                <w:rPr>
                  <w:rStyle w:val="Hyperlink"/>
                </w:rPr>
                <w:t xml:space="preserve">Rwanda's Genocide: The </w:t>
              </w:r>
              <w:proofErr w:type="spellStart"/>
              <w:r w:rsidRPr="00080E8E">
                <w:rPr>
                  <w:rStyle w:val="Hyperlink"/>
                </w:rPr>
                <w:t>Policitcs</w:t>
              </w:r>
              <w:proofErr w:type="spellEnd"/>
              <w:r w:rsidRPr="00080E8E">
                <w:rPr>
                  <w:rStyle w:val="Hyperlink"/>
                </w:rPr>
                <w:t xml:space="preserve"> of Global Justice</w:t>
              </w:r>
            </w:hyperlink>
            <w:r w:rsidRPr="00080E8E">
              <w:t xml:space="preserve">' in </w:t>
            </w:r>
            <w:r w:rsidRPr="00080E8E">
              <w:rPr>
                <w:i/>
                <w:iCs/>
              </w:rPr>
              <w:t>Journal of Peace Research</w:t>
            </w:r>
            <w:r w:rsidRPr="00080E8E">
              <w:t> 45(1): 124.</w:t>
            </w:r>
          </w:p>
          <w:p w:rsidR="00144C63" w:rsidRDefault="00144C63" w:rsidP="00144C63">
            <w:pPr>
              <w:cnfStyle w:val="000000100000"/>
            </w:pP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lastRenderedPageBreak/>
              <w:t>Experience</w:t>
            </w:r>
          </w:p>
        </w:tc>
        <w:tc>
          <w:tcPr>
            <w:tcW w:w="9442" w:type="dxa"/>
            <w:gridSpan w:val="3"/>
          </w:tcPr>
          <w:p w:rsidR="00144C63" w:rsidRPr="00080E8E" w:rsidRDefault="00144C63" w:rsidP="00144C63">
            <w:pPr>
              <w:cnfStyle w:val="000000000000"/>
            </w:pPr>
            <w:r w:rsidRPr="00080E8E">
              <w:t>2010 -: Senior Researcher, University of Oslo, Faculty of Law.</w:t>
            </w:r>
            <w:r w:rsidRPr="00080E8E">
              <w:br/>
              <w:t>2010 -: Senior Researcher (Associated), PRIO.</w:t>
            </w:r>
            <w:r w:rsidRPr="00080E8E">
              <w:br/>
              <w:t>2010-2011: Visiting Fellow, Hoover Institution, Stanford University.</w:t>
            </w:r>
            <w:r w:rsidRPr="00080E8E">
              <w:br/>
              <w:t>2010 Fall: Visiting Professor, Georgetown University.</w:t>
            </w:r>
            <w:r w:rsidRPr="00080E8E">
              <w:br/>
              <w:t>2010 April-May: Visiting Scholar in the University of California, Berkeley.</w:t>
            </w:r>
            <w:r w:rsidRPr="00080E8E">
              <w:br/>
              <w:t>2006-2009:  Senior Researcher, PRIO.</w:t>
            </w:r>
          </w:p>
          <w:p w:rsidR="00144C63" w:rsidRPr="00080E8E" w:rsidRDefault="00144C63" w:rsidP="00144C63">
            <w:pPr>
              <w:cnfStyle w:val="000000000000"/>
            </w:pPr>
            <w:r w:rsidRPr="00080E8E">
              <w:t xml:space="preserve">2003-05:  Senior Legal Adviser and Chief of the Legal Advisory Section, Office of the Prosecutor, International Criminal Court. </w:t>
            </w:r>
          </w:p>
          <w:p w:rsidR="00144C63" w:rsidRPr="00080E8E" w:rsidRDefault="00144C63" w:rsidP="00144C63">
            <w:pPr>
              <w:cnfStyle w:val="000000000000"/>
            </w:pPr>
            <w:r w:rsidRPr="00080E8E">
              <w:t>2002-03:  Senior Legal Adviser and co-</w:t>
            </w:r>
            <w:proofErr w:type="spellStart"/>
            <w:r w:rsidRPr="00080E8E">
              <w:t>ordinator</w:t>
            </w:r>
            <w:proofErr w:type="spellEnd"/>
            <w:r w:rsidRPr="00080E8E">
              <w:t xml:space="preserve"> of the process to establish the Office of the Prosecutor of the International Criminal Court.</w:t>
            </w:r>
          </w:p>
          <w:p w:rsidR="00144C63" w:rsidRPr="00080E8E" w:rsidRDefault="00144C63" w:rsidP="00144C63">
            <w:pPr>
              <w:cnfStyle w:val="000000000000"/>
            </w:pPr>
            <w:r w:rsidRPr="00080E8E">
              <w:t>2002:  Consultant-Member Advance Team of the International Criminal Court.</w:t>
            </w:r>
          </w:p>
          <w:p w:rsidR="00144C63" w:rsidRPr="00080E8E" w:rsidRDefault="00144C63" w:rsidP="00144C63">
            <w:pPr>
              <w:cnfStyle w:val="000000000000"/>
            </w:pPr>
            <w:r w:rsidRPr="00080E8E">
              <w:t>1996-2002:  Expert adviser to the Preparatory Committee for the International Criminal Court, the Rome Diplomatic Conference for the International Criminal Court, and the Preparatory Commission of the International Criminal Court, representing the International Criminal Tribunal for the Former Yugoslavia (ICTY) in these negotiations; Acting Head of ICTY Delegation to the Rome Conference.</w:t>
            </w:r>
          </w:p>
          <w:p w:rsidR="00144C63" w:rsidRPr="00080E8E" w:rsidRDefault="00144C63" w:rsidP="00144C63">
            <w:pPr>
              <w:cnfStyle w:val="000000000000"/>
            </w:pPr>
            <w:r w:rsidRPr="00080E8E">
              <w:t>2000: Legal Adviser on special assignment, Office of the General Prosecutor of the United Nations Transitional Administration in East Timor.</w:t>
            </w:r>
          </w:p>
          <w:p w:rsidR="00144C63" w:rsidRPr="00080E8E" w:rsidRDefault="00144C63" w:rsidP="00144C63">
            <w:pPr>
              <w:cnfStyle w:val="000000000000"/>
            </w:pPr>
            <w:r w:rsidRPr="00080E8E">
              <w:t>1994-2002:  Legal Adviser, Office of the Prosecutor, International Criminal Tribunal for the Former Yugoslavia.</w:t>
            </w:r>
          </w:p>
          <w:p w:rsidR="00144C63" w:rsidRPr="00080E8E" w:rsidRDefault="00144C63" w:rsidP="00144C63">
            <w:pPr>
              <w:cnfStyle w:val="000000000000"/>
            </w:pPr>
            <w:r w:rsidRPr="00080E8E">
              <w:t>1993-94:  Legal Adviser, United Nations Commission of Experts established pursuant to Security Council resolution 780 (1992), seconded by the Norwegian Ministry for Foreign Affairs.</w:t>
            </w:r>
          </w:p>
          <w:p w:rsidR="00360676" w:rsidRDefault="00144C63" w:rsidP="00144C63">
            <w:pPr>
              <w:cnfStyle w:val="000000000000"/>
            </w:pPr>
            <w:r w:rsidRPr="00080E8E">
              <w:t>1991-93:  Researcher, Norwegian Human Rights Institute.</w:t>
            </w:r>
          </w:p>
          <w:p w:rsidR="00144C63" w:rsidRDefault="00144C63" w:rsidP="00144C63">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E-mail</w:t>
            </w:r>
          </w:p>
        </w:tc>
        <w:tc>
          <w:tcPr>
            <w:tcW w:w="9442" w:type="dxa"/>
            <w:gridSpan w:val="3"/>
          </w:tcPr>
          <w:p w:rsidR="00360676" w:rsidRDefault="00144C63" w:rsidP="00AE3597">
            <w:pPr>
              <w:cnfStyle w:val="000000100000"/>
            </w:pPr>
            <w:hyperlink r:id="rId22" w:history="1">
              <w:r w:rsidRPr="00080E8E">
                <w:rPr>
                  <w:rStyle w:val="Hyperlink"/>
                </w:rPr>
                <w:t>bergsmo@prio.no</w:t>
              </w:r>
            </w:hyperlink>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Phone</w:t>
            </w:r>
          </w:p>
        </w:tc>
        <w:tc>
          <w:tcPr>
            <w:tcW w:w="9442" w:type="dxa"/>
            <w:gridSpan w:val="3"/>
          </w:tcPr>
          <w:p w:rsidR="00360676" w:rsidRDefault="00144C63" w:rsidP="00AE3597">
            <w:pPr>
              <w:cnfStyle w:val="000000100000"/>
            </w:pPr>
            <w:r w:rsidRPr="00080E8E">
              <w:t>47-94825919/+31-652671479</w:t>
            </w: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360676" w:rsidRDefault="00360676" w:rsidP="00AE3597">
            <w:pPr>
              <w:cnfStyle w:val="000000000000"/>
            </w:pP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144C63"/>
    <w:rsid w:val="00360676"/>
    <w:rsid w:val="00535692"/>
    <w:rsid w:val="00820A9C"/>
    <w:rsid w:val="00B254D6"/>
    <w:rsid w:val="00CB5ABB"/>
    <w:rsid w:val="00CB5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o.no/Research-and-Publications/Publication/?oid=184778" TargetMode="External"/><Relationship Id="rId13" Type="http://schemas.openxmlformats.org/officeDocument/2006/relationships/hyperlink" Target="http://www.prio.no/Research-and-Publications/Publication/?oid=183127" TargetMode="External"/><Relationship Id="rId18" Type="http://schemas.openxmlformats.org/officeDocument/2006/relationships/hyperlink" Target="http://www.prio.no/Research-and-Publications/Publication/?oid=189372" TargetMode="External"/><Relationship Id="rId3" Type="http://schemas.openxmlformats.org/officeDocument/2006/relationships/settings" Target="settings.xml"/><Relationship Id="rId21" Type="http://schemas.openxmlformats.org/officeDocument/2006/relationships/hyperlink" Target="http://www.prio.no/Research-and-Publications/Publication/?oid=184926" TargetMode="External"/><Relationship Id="rId7" Type="http://schemas.openxmlformats.org/officeDocument/2006/relationships/hyperlink" Target="http://www.prio.no/Research-and-Publications/Publication/?oid=187952" TargetMode="External"/><Relationship Id="rId12" Type="http://schemas.openxmlformats.org/officeDocument/2006/relationships/hyperlink" Target="http://www.prio.no/Research-and-Publications/Publication/?oid=183118" TargetMode="External"/><Relationship Id="rId17" Type="http://schemas.openxmlformats.org/officeDocument/2006/relationships/hyperlink" Target="http://www.prio.no/Research-and-Publications/Publication/?oid=180370" TargetMode="External"/><Relationship Id="rId2" Type="http://schemas.openxmlformats.org/officeDocument/2006/relationships/styles" Target="styles.xml"/><Relationship Id="rId16" Type="http://schemas.openxmlformats.org/officeDocument/2006/relationships/hyperlink" Target="http://www.prio.no/Research-and-Publications/Publication/?oid=184770" TargetMode="External"/><Relationship Id="rId20" Type="http://schemas.openxmlformats.org/officeDocument/2006/relationships/hyperlink" Target="http://www.prio.no/Research-and-Publications/Publication/?oid=184934" TargetMode="External"/><Relationship Id="rId1" Type="http://schemas.openxmlformats.org/officeDocument/2006/relationships/numbering" Target="numbering.xml"/><Relationship Id="rId6" Type="http://schemas.openxmlformats.org/officeDocument/2006/relationships/hyperlink" Target="http://www.prio.no/Research-and-Publications/Publication/?oid=189032" TargetMode="External"/><Relationship Id="rId11" Type="http://schemas.openxmlformats.org/officeDocument/2006/relationships/hyperlink" Target="http://www.prio.no/Research-and-Publications/Publication/?oid=183109"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prio.no/Research-and-Publications/Publication/?oid=183083" TargetMode="External"/><Relationship Id="rId23" Type="http://schemas.openxmlformats.org/officeDocument/2006/relationships/fontTable" Target="fontTable.xml"/><Relationship Id="rId10" Type="http://schemas.openxmlformats.org/officeDocument/2006/relationships/hyperlink" Target="http://www.prio.no/Research-and-Publications/Publication/?oid=183101" TargetMode="External"/><Relationship Id="rId19" Type="http://schemas.openxmlformats.org/officeDocument/2006/relationships/hyperlink" Target="http://www.prio.no/Research-and-Publications/Publication/?oid=184942" TargetMode="External"/><Relationship Id="rId4" Type="http://schemas.openxmlformats.org/officeDocument/2006/relationships/webSettings" Target="webSettings.xml"/><Relationship Id="rId9" Type="http://schemas.openxmlformats.org/officeDocument/2006/relationships/hyperlink" Target="http://www.prio.no/Research-and-Publications/Publication/?oid=183171" TargetMode="External"/><Relationship Id="rId14" Type="http://schemas.openxmlformats.org/officeDocument/2006/relationships/hyperlink" Target="http://www.prio.no/Research-and-Publications/Publication/?oid=183135" TargetMode="External"/><Relationship Id="rId22" Type="http://schemas.openxmlformats.org/officeDocument/2006/relationships/hyperlink" Target="mailto:bergsmo@pri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2</cp:revision>
  <dcterms:created xsi:type="dcterms:W3CDTF">2011-08-03T07:16:00Z</dcterms:created>
  <dcterms:modified xsi:type="dcterms:W3CDTF">2011-08-03T07:16:00Z</dcterms:modified>
</cp:coreProperties>
</file>