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4715B5" w:rsidP="00AE3597">
            <w:pPr>
              <w:cnfStyle w:val="000000100000"/>
            </w:pPr>
            <w:r w:rsidRPr="004715B5">
              <w:drawing>
                <wp:inline distT="0" distB="0" distL="0" distR="0">
                  <wp:extent cx="1182906" cy="1400175"/>
                  <wp:effectExtent l="19050" t="0" r="0" b="0"/>
                  <wp:docPr id="252" name="Picture 252" descr="http://history.uzsci.net/otdel/SrVek/Sh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history.uzsci.net/otdel/SrVek/Sh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906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4715B5" w:rsidP="004715B5">
            <w:pPr>
              <w:cnfStyle w:val="000000100000"/>
            </w:pPr>
            <w:proofErr w:type="spellStart"/>
            <w:r w:rsidRPr="00C46197">
              <w:t>Mahmudov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Sherzodhon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Yunusovich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8165DD" w:rsidP="00AE3597">
            <w:pPr>
              <w:cnfStyle w:val="000000000000"/>
            </w:pPr>
            <w:r w:rsidRPr="00C46197">
              <w:t xml:space="preserve">20.08.1977, Fergana region, </w:t>
            </w:r>
            <w:proofErr w:type="spellStart"/>
            <w:r w:rsidRPr="00C46197">
              <w:t>Uchkuprik</w:t>
            </w:r>
            <w:proofErr w:type="spellEnd"/>
            <w:r w:rsidRPr="00C46197">
              <w:t xml:space="preserve"> district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8165DD" w:rsidP="00AE3597">
            <w:pPr>
              <w:cnfStyle w:val="000000000000"/>
            </w:pPr>
            <w:r w:rsidRPr="00C46197">
              <w:t>Department of history of Fergana state university, 1999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r w:rsidRPr="00C46197">
              <w:t>About the foreign relations of Kokand khanate according to the written sources. “Cultural heritage – source for studying the history of cultural and spiritual renaissance of the world” / Abstracts of reports of the international scientific conference. Ashgabat: 2008. P. 201-202. [in English]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Тарихий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манбаларда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хонлигида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кечган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этнодемографик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За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ириддин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Бобур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таваллудининг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525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олимлар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2008. – Б.  52-54.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хонлари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шажарасининг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Бобурга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ланиши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За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ириддин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Бобур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таваллудининг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525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</w:t>
            </w:r>
            <w:r w:rsidRPr="00C46197">
              <w:t>лмий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анжуман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материаллари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, 2008. – </w:t>
            </w:r>
            <w:proofErr w:type="gramStart"/>
            <w:r w:rsidRPr="00C46197">
              <w:t>Б. 22</w:t>
            </w:r>
            <w:proofErr w:type="gramEnd"/>
            <w:r w:rsidRPr="00C46197">
              <w:t xml:space="preserve">-23.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Тарихий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манбаларда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хонлиги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таркибига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маълумотлар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этнологияси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долзарб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муаммолари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мавзусидаги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IV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илмий-назарий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Тошкент-На</w:t>
            </w:r>
            <w:r w:rsidRPr="00C46197">
              <w:t>манган</w:t>
            </w:r>
            <w:proofErr w:type="spellEnd"/>
            <w:r w:rsidRPr="00C46197">
              <w:t xml:space="preserve">, 2007.  – </w:t>
            </w:r>
            <w:proofErr w:type="gramStart"/>
            <w:r w:rsidRPr="00C46197">
              <w:t>Б. 195</w:t>
            </w:r>
            <w:proofErr w:type="gramEnd"/>
            <w:r w:rsidRPr="00C46197">
              <w:t xml:space="preserve">-197.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Махдуми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Аъзам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авлодларининг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хонлиги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ижтимоий-сиёсий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аётида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шахрининг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2750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олимлар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илмий-амалий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2007. – </w:t>
            </w:r>
            <w:proofErr w:type="gramStart"/>
            <w:r w:rsidRPr="00C46197">
              <w:rPr>
                <w:rFonts w:ascii="Calibri" w:hAnsi="Calibri" w:cs="Calibri"/>
              </w:rPr>
              <w:t>Б. 17</w:t>
            </w:r>
            <w:proofErr w:type="gramEnd"/>
            <w:r w:rsidRPr="00C46197">
              <w:rPr>
                <w:rFonts w:ascii="Calibri" w:hAnsi="Calibri" w:cs="Calibri"/>
              </w:rPr>
              <w:t xml:space="preserve">-20.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Система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административного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управления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Кокандском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ханстве</w:t>
            </w:r>
            <w:proofErr w:type="spellEnd"/>
            <w:r w:rsidRPr="00C46197">
              <w:t xml:space="preserve"> (1709-1876 </w:t>
            </w:r>
            <w:proofErr w:type="spellStart"/>
            <w:r w:rsidRPr="00C46197">
              <w:t>гг</w:t>
            </w:r>
            <w:proofErr w:type="spellEnd"/>
            <w:r w:rsidRPr="00C46197">
              <w:t xml:space="preserve">.) / </w:t>
            </w:r>
            <w:proofErr w:type="spellStart"/>
            <w:proofErr w:type="gramStart"/>
            <w:r w:rsidRPr="00C46197">
              <w:t>Автореф</w:t>
            </w:r>
            <w:proofErr w:type="spellEnd"/>
            <w:r w:rsidRPr="00C46197">
              <w:t>. …</w:t>
            </w:r>
            <w:proofErr w:type="gramEnd"/>
            <w:r w:rsidRPr="00C46197">
              <w:t xml:space="preserve"> </w:t>
            </w:r>
            <w:proofErr w:type="spellStart"/>
            <w:r w:rsidRPr="00C46197">
              <w:t>канд.истор.наук</w:t>
            </w:r>
            <w:proofErr w:type="spellEnd"/>
            <w:r w:rsidRPr="00C46197">
              <w:t xml:space="preserve"> – Т., 2007. – 30 с.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доир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манбаларда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илон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окимлари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Мар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илоннинг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2000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>. T.</w:t>
            </w:r>
            <w:r w:rsidRPr="00C46197">
              <w:t xml:space="preserve">: 2007. – </w:t>
            </w:r>
            <w:proofErr w:type="gramStart"/>
            <w:r w:rsidRPr="00C46197">
              <w:t>Б. 190</w:t>
            </w:r>
            <w:proofErr w:type="gramEnd"/>
            <w:r w:rsidRPr="00C46197">
              <w:t xml:space="preserve">-192.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r w:rsidRPr="00C46197">
              <w:t>«</w:t>
            </w:r>
            <w:proofErr w:type="spellStart"/>
            <w:r w:rsidRPr="00C46197">
              <w:t>Мунтахаб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ут-таворих</w:t>
            </w:r>
            <w:proofErr w:type="spellEnd"/>
            <w:r w:rsidRPr="00C46197">
              <w:t xml:space="preserve">» </w:t>
            </w:r>
            <w:proofErr w:type="spellStart"/>
            <w:r w:rsidRPr="00C46197">
              <w:t>асарининг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янги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нашри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Имом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ал-Бухорий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сабо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2006. – № 3. – Б. 193.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r w:rsidRPr="00C46197">
              <w:t>«</w:t>
            </w:r>
            <w:proofErr w:type="spellStart"/>
            <w:r w:rsidRPr="00C46197">
              <w:t>Мунтахаб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ут-таворих</w:t>
            </w:r>
            <w:proofErr w:type="spellEnd"/>
            <w:r w:rsidRPr="00C46197">
              <w:t xml:space="preserve">» </w:t>
            </w:r>
            <w:proofErr w:type="spellStart"/>
            <w:r w:rsidRPr="00C46197">
              <w:t>асарида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диний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мансаблар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Имом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ал-Бухорий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сабо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2006. – № 1. – </w:t>
            </w:r>
            <w:proofErr w:type="gramStart"/>
            <w:r w:rsidRPr="00C46197">
              <w:rPr>
                <w:rFonts w:ascii="Calibri" w:hAnsi="Calibri" w:cs="Calibri"/>
              </w:rPr>
              <w:t>Б. 64</w:t>
            </w:r>
            <w:proofErr w:type="gramEnd"/>
            <w:r w:rsidRPr="00C46197">
              <w:rPr>
                <w:rFonts w:ascii="Calibri" w:hAnsi="Calibri" w:cs="Calibri"/>
              </w:rPr>
              <w:t xml:space="preserve">-65.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r w:rsidRPr="00C46197">
              <w:t>«</w:t>
            </w:r>
            <w:proofErr w:type="spellStart"/>
            <w:r w:rsidRPr="00C46197">
              <w:t>Мунтахаб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ут-таворих</w:t>
            </w:r>
            <w:proofErr w:type="spellEnd"/>
            <w:r w:rsidRPr="00C46197">
              <w:t xml:space="preserve">» -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хонл</w:t>
            </w:r>
            <w:r w:rsidRPr="00C46197">
              <w:t>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давлат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Проф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Сулаймон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номли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манбашунослари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матншуносларининг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муста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иллигининг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15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2006. – </w:t>
            </w:r>
            <w:proofErr w:type="gramStart"/>
            <w:r w:rsidRPr="00C46197">
              <w:rPr>
                <w:rFonts w:ascii="Calibri" w:hAnsi="Calibri" w:cs="Calibri"/>
              </w:rPr>
              <w:t>Б. 25</w:t>
            </w:r>
            <w:proofErr w:type="gramEnd"/>
            <w:r w:rsidRPr="00C46197">
              <w:rPr>
                <w:rFonts w:ascii="Calibri" w:hAnsi="Calibri" w:cs="Calibri"/>
              </w:rPr>
              <w:t xml:space="preserve">-27.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маъмурий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маълумотлар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(«</w:t>
            </w:r>
            <w:proofErr w:type="spellStart"/>
            <w:r w:rsidRPr="00C46197">
              <w:rPr>
                <w:rFonts w:ascii="Calibri" w:hAnsi="Calibri" w:cs="Calibri"/>
              </w:rPr>
              <w:t>Тарихи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Али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ули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Амирлашкар</w:t>
            </w:r>
            <w:proofErr w:type="spellEnd"/>
            <w:r w:rsidRPr="00C46197">
              <w:rPr>
                <w:rFonts w:ascii="Calibri" w:hAnsi="Calibri" w:cs="Calibri"/>
              </w:rPr>
              <w:t xml:space="preserve">» </w:t>
            </w:r>
            <w:proofErr w:type="spellStart"/>
            <w:r w:rsidRPr="00C46197">
              <w:rPr>
                <w:rFonts w:ascii="Calibri" w:hAnsi="Calibri" w:cs="Calibri"/>
              </w:rPr>
              <w:t>асари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асосида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Имом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ал-Бухорий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сабо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2005. – № 4.              – </w:t>
            </w:r>
            <w:proofErr w:type="gramStart"/>
            <w:r w:rsidRPr="00C46197">
              <w:rPr>
                <w:rFonts w:ascii="Calibri" w:hAnsi="Calibri" w:cs="Calibri"/>
              </w:rPr>
              <w:t>Б. 231</w:t>
            </w:r>
            <w:proofErr w:type="gramEnd"/>
            <w:r w:rsidRPr="00C46197">
              <w:rPr>
                <w:rFonts w:ascii="Calibri" w:hAnsi="Calibri" w:cs="Calibri"/>
              </w:rPr>
              <w:t xml:space="preserve">-232.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хонлигидаги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Олий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кенгаш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онун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имоясида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. 2005. – № 2. – Б. 36.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маъмурий-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удудий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бўлиниши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Академик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Убайдулла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Каримов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номидаги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шунослар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тезислари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2005. – </w:t>
            </w:r>
            <w:proofErr w:type="gramStart"/>
            <w:r w:rsidRPr="00C46197">
              <w:rPr>
                <w:rFonts w:ascii="Calibri" w:hAnsi="Calibri" w:cs="Calibri"/>
              </w:rPr>
              <w:t>Б. 58</w:t>
            </w:r>
            <w:proofErr w:type="gramEnd"/>
            <w:r w:rsidRPr="00C46197">
              <w:rPr>
                <w:rFonts w:ascii="Calibri" w:hAnsi="Calibri" w:cs="Calibri"/>
              </w:rPr>
              <w:t xml:space="preserve">-60.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аллий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тизимида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раис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proofErr w:type="spellStart"/>
            <w:r w:rsidRPr="00C46197">
              <w:rPr>
                <w:rFonts w:ascii="Calibri" w:hAnsi="Calibri" w:cs="Calibri"/>
              </w:rPr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тасиб</w:t>
            </w:r>
            <w:proofErr w:type="spellEnd"/>
            <w:r w:rsidRPr="00C46197">
              <w:rPr>
                <w:rFonts w:ascii="Calibri" w:hAnsi="Calibri" w:cs="Calibri"/>
              </w:rPr>
              <w:t xml:space="preserve">) </w:t>
            </w:r>
            <w:proofErr w:type="spellStart"/>
            <w:r w:rsidRPr="00C46197">
              <w:rPr>
                <w:rFonts w:ascii="Calibri" w:hAnsi="Calibri" w:cs="Calibri"/>
              </w:rPr>
              <w:t>мансаби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фаолияти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//«</w:t>
            </w:r>
            <w:proofErr w:type="spellStart"/>
            <w:r w:rsidRPr="00C46197">
              <w:rPr>
                <w:rFonts w:ascii="Calibri" w:hAnsi="Calibri" w:cs="Calibri"/>
              </w:rPr>
              <w:t>Ўзбек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давлатчилиг</w:t>
            </w:r>
            <w:r w:rsidRPr="00C46197">
              <w:t>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</w:t>
            </w:r>
            <w:proofErr w:type="spellEnd"/>
            <w:r w:rsidRPr="00C46197">
              <w:rPr>
                <w:rFonts w:ascii="Calibri" w:hAnsi="Calibri" w:cs="Calibri"/>
              </w:rPr>
              <w:t xml:space="preserve">» </w:t>
            </w:r>
            <w:proofErr w:type="spellStart"/>
            <w:r w:rsidRPr="00C46197">
              <w:rPr>
                <w:rFonts w:ascii="Calibri" w:hAnsi="Calibri" w:cs="Calibri"/>
              </w:rPr>
              <w:t>мавзусидаги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lastRenderedPageBreak/>
              <w:t>илмий-назарий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, 2004. – </w:t>
            </w:r>
            <w:proofErr w:type="gramStart"/>
            <w:r w:rsidRPr="00C46197">
              <w:rPr>
                <w:rFonts w:ascii="Calibri" w:hAnsi="Calibri" w:cs="Calibri"/>
              </w:rPr>
              <w:t>Б. 47</w:t>
            </w:r>
            <w:proofErr w:type="gramEnd"/>
            <w:r w:rsidRPr="00C46197">
              <w:rPr>
                <w:rFonts w:ascii="Calibri" w:hAnsi="Calibri" w:cs="Calibri"/>
              </w:rPr>
              <w:t xml:space="preserve">-48.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Миллий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давлатчилигимиз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диний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арбоблар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Имом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ал-Бухорий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собо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  2004. – № 3. – </w:t>
            </w:r>
            <w:proofErr w:type="gramStart"/>
            <w:r w:rsidRPr="00C46197">
              <w:rPr>
                <w:rFonts w:ascii="Calibri" w:hAnsi="Calibri" w:cs="Calibri"/>
              </w:rPr>
              <w:t>Б. 214</w:t>
            </w:r>
            <w:proofErr w:type="gramEnd"/>
            <w:r w:rsidRPr="00C46197">
              <w:rPr>
                <w:rFonts w:ascii="Calibri" w:hAnsi="Calibri" w:cs="Calibri"/>
              </w:rPr>
              <w:t>-215.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марказий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</w:t>
            </w:r>
            <w:r w:rsidRPr="00C46197">
              <w:t>имининг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айрим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жи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тў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рисида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//«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асрлар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силсиласида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»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илмий-назарий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, 2004. – </w:t>
            </w:r>
            <w:proofErr w:type="gramStart"/>
            <w:r w:rsidRPr="00C46197">
              <w:rPr>
                <w:rFonts w:ascii="Calibri" w:hAnsi="Calibri" w:cs="Calibri"/>
              </w:rPr>
              <w:t>Б. 172</w:t>
            </w:r>
            <w:proofErr w:type="gramEnd"/>
            <w:r w:rsidRPr="00C46197">
              <w:rPr>
                <w:rFonts w:ascii="Calibri" w:hAnsi="Calibri" w:cs="Calibri"/>
              </w:rPr>
              <w:t xml:space="preserve">-173.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r w:rsidRPr="00C46197">
              <w:t> 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хонлигида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аллий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тизими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Жамият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</w:t>
            </w:r>
            <w:proofErr w:type="spellEnd"/>
            <w:r w:rsidRPr="00C46197">
              <w:rPr>
                <w:rFonts w:ascii="Calibri" w:hAnsi="Calibri" w:cs="Calibri"/>
              </w:rPr>
              <w:t xml:space="preserve">. 2004.          – № 1. – </w:t>
            </w:r>
            <w:proofErr w:type="gramStart"/>
            <w:r w:rsidRPr="00C46197">
              <w:rPr>
                <w:rFonts w:ascii="Calibri" w:hAnsi="Calibri" w:cs="Calibri"/>
              </w:rPr>
              <w:t>Б. 67</w:t>
            </w:r>
            <w:proofErr w:type="gramEnd"/>
            <w:r w:rsidRPr="00C46197">
              <w:rPr>
                <w:rFonts w:ascii="Calibri" w:hAnsi="Calibri" w:cs="Calibri"/>
              </w:rPr>
              <w:t xml:space="preserve">-68.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соли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тизимига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маълумотлар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ЎзРФА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олимларининг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2004. – Б. 146. 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аллий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тизимининг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хусусиятлари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Фанлар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академиясининг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60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</w:t>
            </w:r>
            <w:r w:rsidRPr="00C46197">
              <w:t>ган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республика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ёш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олимлар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илмий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конференцияси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материаллари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, 2003. – </w:t>
            </w:r>
            <w:proofErr w:type="gramStart"/>
            <w:r w:rsidRPr="00C46197">
              <w:t>Б. 155</w:t>
            </w:r>
            <w:proofErr w:type="gramEnd"/>
            <w:r w:rsidRPr="00C46197">
              <w:t>-156.</w:t>
            </w:r>
          </w:p>
          <w:p w:rsidR="008165DD" w:rsidRPr="00C46197" w:rsidRDefault="008165DD" w:rsidP="008165D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олий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укмдорни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тахтга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ўт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азиш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маросими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маълумотлар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// «</w:t>
            </w:r>
            <w:proofErr w:type="spellStart"/>
            <w:r w:rsidRPr="00C46197">
              <w:rPr>
                <w:rFonts w:ascii="Calibri" w:hAnsi="Calibri" w:cs="Calibri"/>
              </w:rPr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этнографияси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долзарб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муаммолари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»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t>илмий-амалий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анжумани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материаллари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Наманган</w:t>
            </w:r>
            <w:proofErr w:type="spellEnd"/>
            <w:r w:rsidRPr="00C46197">
              <w:t xml:space="preserve">, 2003. – Б. 48-49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165DD" w:rsidP="00AE3597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sh_mahmudov@mail.ru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734E"/>
    <w:multiLevelType w:val="multilevel"/>
    <w:tmpl w:val="AA92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13C26"/>
    <w:rsid w:val="004715B5"/>
    <w:rsid w:val="00535692"/>
    <w:rsid w:val="008165DD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_mahmudov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2011-08-07T10:54:00Z</dcterms:created>
  <dcterms:modified xsi:type="dcterms:W3CDTF">2011-08-07T10:55:00Z</dcterms:modified>
</cp:coreProperties>
</file>