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C4781D" w:rsidP="00AE3597">
            <w:pPr>
              <w:cnfStyle w:val="000000100000"/>
            </w:pPr>
            <w:r w:rsidRPr="00C4781D">
              <w:drawing>
                <wp:inline distT="0" distB="0" distL="0" distR="0">
                  <wp:extent cx="952500" cy="1390650"/>
                  <wp:effectExtent l="19050" t="0" r="0" b="0"/>
                  <wp:docPr id="318" name="Picture 318" descr="http://english.sass.org.cn/admin/upfiles/2011712105825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english.sass.org.cn/admin/upfiles/2011712105825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C4781D" w:rsidRDefault="00C4781D" w:rsidP="00C4781D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He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Xirong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C4781D" w:rsidRDefault="00C4781D" w:rsidP="00C4781D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·History of Chinese Philosophy </w:t>
            </w:r>
            <w:r w:rsidRPr="00A658E6">
              <w:rPr>
                <w:sz w:val="24"/>
                <w:szCs w:val="24"/>
              </w:rPr>
              <w:br/>
              <w:t xml:space="preserve">·Comparative Studies between Chinese and Western Philosophy </w:t>
            </w:r>
            <w:r w:rsidRPr="00A658E6">
              <w:rPr>
                <w:sz w:val="24"/>
                <w:szCs w:val="24"/>
              </w:rPr>
              <w:br/>
              <w:t xml:space="preserve">·Women’s Studies </w:t>
            </w:r>
            <w:r w:rsidRPr="00A658E6">
              <w:rPr>
                <w:sz w:val="24"/>
                <w:szCs w:val="24"/>
              </w:rPr>
              <w:br/>
              <w:t>Selected publications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 xml:space="preserve">·Search for the Root of Philosophy----Essays of a New Round Comparative Study on the Chinese and Western Philosophy (co-editor with Yu </w:t>
            </w:r>
            <w:proofErr w:type="spellStart"/>
            <w:r w:rsidRPr="00A658E6">
              <w:rPr>
                <w:sz w:val="24"/>
                <w:szCs w:val="24"/>
              </w:rPr>
              <w:t>Xuanmeng</w:t>
            </w:r>
            <w:proofErr w:type="spellEnd"/>
            <w:r w:rsidRPr="00A658E6">
              <w:rPr>
                <w:sz w:val="24"/>
                <w:szCs w:val="24"/>
              </w:rPr>
              <w:t xml:space="preserve">), Shanghai Translation Press, 2005. </w:t>
            </w:r>
            <w:r w:rsidRPr="00A658E6">
              <w:rPr>
                <w:sz w:val="24"/>
                <w:szCs w:val="24"/>
              </w:rPr>
              <w:br/>
              <w:t xml:space="preserve">·Shanghai: Its Urbanization and Culture, (co-editor with Yu </w:t>
            </w:r>
            <w:proofErr w:type="spellStart"/>
            <w:r w:rsidRPr="00A658E6">
              <w:rPr>
                <w:sz w:val="24"/>
                <w:szCs w:val="24"/>
              </w:rPr>
              <w:t>Xuanmeng</w:t>
            </w:r>
            <w:proofErr w:type="spellEnd"/>
            <w:r w:rsidRPr="00A658E6">
              <w:rPr>
                <w:sz w:val="24"/>
                <w:szCs w:val="24"/>
              </w:rPr>
              <w:t>), The Council for research in Values and philosophy, Washington D.C.</w:t>
            </w:r>
            <w:proofErr w:type="gramStart"/>
            <w:r w:rsidRPr="00A658E6">
              <w:rPr>
                <w:sz w:val="24"/>
                <w:szCs w:val="24"/>
              </w:rPr>
              <w:t>,2004</w:t>
            </w:r>
            <w:proofErr w:type="gramEnd"/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 xml:space="preserve">·Structure Each Other Between Buddhism and Chinese Traditional Philosophy; Shanghai Academy of Social Sciences Publishing House, 2004. </w:t>
            </w:r>
            <w:r w:rsidRPr="00A658E6">
              <w:rPr>
                <w:sz w:val="24"/>
                <w:szCs w:val="24"/>
              </w:rPr>
              <w:br/>
              <w:t xml:space="preserve">·Research on Female Ethics, Hubei Educational Publishing House, 2001; </w:t>
            </w:r>
            <w:r w:rsidRPr="00A658E6">
              <w:rPr>
                <w:sz w:val="24"/>
                <w:szCs w:val="24"/>
              </w:rPr>
              <w:br/>
              <w:t xml:space="preserve">·Confucius’s Ethical Wisdom, in Dialogue with Confucius: Confucianism in the Global Civilizations, </w:t>
            </w:r>
            <w:proofErr w:type="spellStart"/>
            <w:r w:rsidRPr="00A658E6">
              <w:rPr>
                <w:sz w:val="24"/>
                <w:szCs w:val="24"/>
              </w:rPr>
              <w:t>Xuelin</w:t>
            </w:r>
            <w:proofErr w:type="spellEnd"/>
            <w:r w:rsidRPr="00A658E6">
              <w:rPr>
                <w:sz w:val="24"/>
                <w:szCs w:val="24"/>
              </w:rPr>
              <w:t xml:space="preserve"> Publishing House Press. 2005,8 </w:t>
            </w:r>
            <w:r w:rsidRPr="00A658E6">
              <w:rPr>
                <w:sz w:val="24"/>
                <w:szCs w:val="24"/>
              </w:rPr>
              <w:br/>
              <w:t xml:space="preserve">·A Method of Comparative Philosophy, “Asian Philosophy in the </w:t>
            </w:r>
            <w:proofErr w:type="spellStart"/>
            <w:r w:rsidRPr="00A658E6">
              <w:rPr>
                <w:sz w:val="24"/>
                <w:szCs w:val="24"/>
              </w:rPr>
              <w:t>Makiong</w:t>
            </w:r>
            <w:proofErr w:type="spellEnd"/>
            <w:r w:rsidRPr="00A658E6">
              <w:rPr>
                <w:sz w:val="24"/>
                <w:szCs w:val="24"/>
              </w:rPr>
              <w:t xml:space="preserve">”, Editor: Tran Van Doan </w:t>
            </w:r>
            <w:proofErr w:type="spellStart"/>
            <w:r w:rsidRPr="00A658E6">
              <w:rPr>
                <w:sz w:val="24"/>
                <w:szCs w:val="24"/>
              </w:rPr>
              <w:t>Encyclope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dia</w:t>
            </w:r>
            <w:proofErr w:type="spellEnd"/>
            <w:r w:rsidRPr="00A658E6">
              <w:rPr>
                <w:sz w:val="24"/>
                <w:szCs w:val="24"/>
              </w:rPr>
              <w:t xml:space="preserve"> Publishing House 2009,6 </w:t>
            </w:r>
            <w:r w:rsidRPr="00A658E6">
              <w:rPr>
                <w:sz w:val="24"/>
                <w:szCs w:val="24"/>
              </w:rPr>
              <w:br/>
              <w:t>·The thought of the Mean and China’s developments: A philosophical reflection to China’s road of 60 years.&lt;On theory of &lt;Studies on Mao Zedong and Deng Xiaoping Theories&gt;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2009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10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C4781D" w:rsidP="00AE3597">
            <w:pPr>
              <w:cnfStyle w:val="000000000000"/>
            </w:pPr>
            <w:r w:rsidRPr="00A658E6">
              <w:rPr>
                <w:sz w:val="24"/>
                <w:szCs w:val="24"/>
              </w:rPr>
              <w:t xml:space="preserve">He </w:t>
            </w:r>
            <w:proofErr w:type="spellStart"/>
            <w:r w:rsidRPr="00A658E6">
              <w:rPr>
                <w:sz w:val="24"/>
                <w:szCs w:val="24"/>
              </w:rPr>
              <w:t>Xirong</w:t>
            </w:r>
            <w:proofErr w:type="spellEnd"/>
            <w:r w:rsidRPr="00A658E6">
              <w:rPr>
                <w:sz w:val="24"/>
                <w:szCs w:val="24"/>
              </w:rPr>
              <w:t xml:space="preserve"> got her bachelor degree from </w:t>
            </w:r>
            <w:proofErr w:type="spellStart"/>
            <w:r w:rsidRPr="00A658E6">
              <w:rPr>
                <w:sz w:val="24"/>
                <w:szCs w:val="24"/>
              </w:rPr>
              <w:t>Fudan</w:t>
            </w:r>
            <w:proofErr w:type="spellEnd"/>
            <w:r w:rsidRPr="00A658E6">
              <w:rPr>
                <w:sz w:val="24"/>
                <w:szCs w:val="24"/>
              </w:rPr>
              <w:t xml:space="preserve"> University in 1982. Since then she started her career as a philosophy researcher at SASS, She got her associate professorship and full professorship respectively in 1995 and 2001. </w:t>
            </w:r>
            <w:r w:rsidRPr="00A658E6">
              <w:rPr>
                <w:sz w:val="24"/>
                <w:szCs w:val="24"/>
              </w:rPr>
              <w:br/>
              <w:t>Deputy Director of the Institute of Philosophy (SASS)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C4781D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hxr@sass.org.cn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C4781D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64862266-29101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20A6A"/>
    <w:rsid w:val="00535692"/>
    <w:rsid w:val="00B254D6"/>
    <w:rsid w:val="00B51CE3"/>
    <w:rsid w:val="00C4781D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2011-08-06T05:28:00Z</dcterms:created>
  <dcterms:modified xsi:type="dcterms:W3CDTF">2011-08-06T05:29:00Z</dcterms:modified>
</cp:coreProperties>
</file>