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1530E" w:rsidP="00AE3597">
            <w:pPr>
              <w:cnfStyle w:val="000000100000"/>
            </w:pPr>
            <w:r w:rsidRPr="00A1530E">
              <w:drawing>
                <wp:inline distT="0" distB="0" distL="0" distR="0">
                  <wp:extent cx="1428750" cy="2133600"/>
                  <wp:effectExtent l="19050" t="0" r="0" b="0"/>
                  <wp:docPr id="1900" name="Picture 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1530E" w:rsidP="00A1530E">
            <w:pPr>
              <w:cnfStyle w:val="000000100000"/>
            </w:pPr>
            <w:r>
              <w:t xml:space="preserve">Dag </w:t>
            </w:r>
            <w:proofErr w:type="spellStart"/>
            <w:r>
              <w:t>Henrik</w:t>
            </w:r>
            <w:proofErr w:type="spellEnd"/>
            <w:r>
              <w:t xml:space="preserve"> </w:t>
            </w:r>
            <w:proofErr w:type="spellStart"/>
            <w:r>
              <w:t>Tuastad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A1530E" w:rsidRPr="00D35618" w:rsidRDefault="00A1530E" w:rsidP="00A1530E">
            <w:pPr>
              <w:cnfStyle w:val="000000100000"/>
            </w:pPr>
            <w:proofErr w:type="spellStart"/>
            <w:r w:rsidRPr="00D35618">
              <w:t>Tuastad</w:t>
            </w:r>
            <w:proofErr w:type="spellEnd"/>
            <w:r w:rsidRPr="00D35618">
              <w:t xml:space="preserve">, Dag </w:t>
            </w:r>
            <w:proofErr w:type="spellStart"/>
            <w:r w:rsidRPr="00D35618">
              <w:t>Henrik</w:t>
            </w:r>
            <w:proofErr w:type="spellEnd"/>
            <w:r w:rsidRPr="00D35618">
              <w:t>, 2011. '</w:t>
            </w:r>
            <w:hyperlink r:id="rId6" w:history="1">
              <w:r w:rsidRPr="00D35618">
                <w:rPr>
                  <w:rStyle w:val="Hyperlink"/>
                </w:rPr>
                <w:t xml:space="preserve">Ti </w:t>
              </w:r>
              <w:proofErr w:type="spellStart"/>
              <w:r w:rsidRPr="00D35618">
                <w:rPr>
                  <w:rStyle w:val="Hyperlink"/>
                </w:rPr>
                <w:t>år</w:t>
              </w:r>
              <w:proofErr w:type="spellEnd"/>
              <w:r w:rsidRPr="00D35618">
                <w:rPr>
                  <w:rStyle w:val="Hyperlink"/>
                </w:rPr>
                <w:t xml:space="preserve"> </w:t>
              </w:r>
              <w:proofErr w:type="spellStart"/>
              <w:r w:rsidRPr="00D35618">
                <w:rPr>
                  <w:rStyle w:val="Hyperlink"/>
                </w:rPr>
                <w:t>etter</w:t>
              </w:r>
              <w:proofErr w:type="spellEnd"/>
              <w:r w:rsidRPr="00D35618">
                <w:rPr>
                  <w:rStyle w:val="Hyperlink"/>
                </w:rPr>
                <w:t xml:space="preserve"> </w:t>
              </w:r>
              <w:proofErr w:type="spellStart"/>
              <w:r w:rsidRPr="00D35618">
                <w:rPr>
                  <w:rStyle w:val="Hyperlink"/>
                </w:rPr>
                <w:t>oktober-urolighetene</w:t>
              </w:r>
              <w:proofErr w:type="spellEnd"/>
              <w:r w:rsidRPr="00D35618">
                <w:rPr>
                  <w:rStyle w:val="Hyperlink"/>
                </w:rPr>
                <w:t xml:space="preserve"> </w:t>
              </w:r>
              <w:proofErr w:type="spellStart"/>
              <w:r w:rsidRPr="00D35618">
                <w:rPr>
                  <w:rStyle w:val="Hyperlink"/>
                </w:rPr>
                <w:t>i</w:t>
              </w:r>
              <w:proofErr w:type="spellEnd"/>
              <w:r w:rsidRPr="00D35618">
                <w:rPr>
                  <w:rStyle w:val="Hyperlink"/>
                </w:rPr>
                <w:t xml:space="preserve"> Israel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Babylon</w:t>
            </w:r>
            <w:r w:rsidRPr="00D35618">
              <w:t xml:space="preserve"> 9(1): 118–127. </w:t>
            </w:r>
          </w:p>
          <w:p w:rsidR="00A1530E" w:rsidRPr="00D35618" w:rsidRDefault="00A1530E" w:rsidP="00A1530E">
            <w:pPr>
              <w:cnfStyle w:val="000000100000"/>
            </w:pPr>
            <w:proofErr w:type="spellStart"/>
            <w:r w:rsidRPr="00D35618">
              <w:t>Tuastad</w:t>
            </w:r>
            <w:proofErr w:type="spellEnd"/>
            <w:r w:rsidRPr="00D35618">
              <w:t xml:space="preserve">, Dag </w:t>
            </w:r>
            <w:proofErr w:type="spellStart"/>
            <w:r w:rsidRPr="00D35618">
              <w:t>Henrik</w:t>
            </w:r>
            <w:proofErr w:type="spellEnd"/>
            <w:r w:rsidRPr="00D35618">
              <w:t>, 2010. '</w:t>
            </w:r>
            <w:hyperlink r:id="rId7" w:history="1">
              <w:r w:rsidRPr="00D35618">
                <w:rPr>
                  <w:rStyle w:val="Hyperlink"/>
                </w:rPr>
                <w:t xml:space="preserve">The </w:t>
              </w:r>
              <w:proofErr w:type="spellStart"/>
              <w:r w:rsidRPr="00D35618">
                <w:rPr>
                  <w:rStyle w:val="Hyperlink"/>
                </w:rPr>
                <w:t>Hudna</w:t>
              </w:r>
              <w:proofErr w:type="spellEnd"/>
              <w:r w:rsidRPr="00D35618">
                <w:rPr>
                  <w:rStyle w:val="Hyperlink"/>
                </w:rPr>
                <w:t>: Hamas's Concept of a Long-term Ceasefire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PRIO Policy Brief</w:t>
            </w:r>
            <w:r w:rsidRPr="00D35618">
              <w:t xml:space="preserve"> 9, Oslo</w:t>
            </w:r>
            <w:proofErr w:type="gramStart"/>
            <w:r w:rsidRPr="00D35618">
              <w:t>: .</w:t>
            </w:r>
            <w:proofErr w:type="gramEnd"/>
          </w:p>
          <w:p w:rsidR="00A1530E" w:rsidRPr="00D35618" w:rsidRDefault="00A1530E" w:rsidP="00A1530E">
            <w:pPr>
              <w:cnfStyle w:val="000000100000"/>
            </w:pPr>
            <w:proofErr w:type="spellStart"/>
            <w:r w:rsidRPr="00D35618">
              <w:t>Tuastad</w:t>
            </w:r>
            <w:proofErr w:type="spellEnd"/>
            <w:r w:rsidRPr="00D35618">
              <w:t xml:space="preserve">, Dag </w:t>
            </w:r>
            <w:proofErr w:type="spellStart"/>
            <w:r w:rsidRPr="00D35618">
              <w:t>Henrik</w:t>
            </w:r>
            <w:proofErr w:type="spellEnd"/>
            <w:r w:rsidRPr="00D35618">
              <w:t>, 2010. '</w:t>
            </w:r>
            <w:hyperlink r:id="rId8" w:history="1">
              <w:r w:rsidRPr="00D35618">
                <w:rPr>
                  <w:rStyle w:val="Hyperlink"/>
                </w:rPr>
                <w:t xml:space="preserve">The Role of International </w:t>
              </w:r>
              <w:proofErr w:type="spellStart"/>
              <w:r w:rsidRPr="00D35618">
                <w:rPr>
                  <w:rStyle w:val="Hyperlink"/>
                </w:rPr>
                <w:t>Clientelism</w:t>
              </w:r>
              <w:proofErr w:type="spellEnd"/>
              <w:r w:rsidRPr="00D35618">
                <w:rPr>
                  <w:rStyle w:val="Hyperlink"/>
                </w:rPr>
                <w:t xml:space="preserve"> in the National Factionalism of Palestine</w:t>
              </w:r>
            </w:hyperlink>
            <w:r w:rsidRPr="00D35618">
              <w:t xml:space="preserve">', </w:t>
            </w:r>
            <w:r w:rsidRPr="00D35618">
              <w:rPr>
                <w:i/>
                <w:iCs/>
              </w:rPr>
              <w:t>Third World Quarterly</w:t>
            </w:r>
            <w:r w:rsidRPr="00D35618">
              <w:t xml:space="preserve"> 31(5): 791–802. 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1530E" w:rsidP="00AE3597">
            <w:pPr>
              <w:cnfStyle w:val="000000100000"/>
            </w:pPr>
            <w:hyperlink r:id="rId9" w:history="1">
              <w:r>
                <w:rPr>
                  <w:rStyle w:val="Hyperlink"/>
                </w:rPr>
                <w:t>dagtua@prio.no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1530E" w:rsidP="00AE3597">
            <w:pPr>
              <w:cnfStyle w:val="000000100000"/>
            </w:pPr>
            <w:r>
              <w:t>+47 22 54 77 34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682B48"/>
    <w:rsid w:val="00A1530E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940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o.no/Research-and-Publications/Publication/?oid=1948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9585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gtua@prio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2011-08-03T07:27:00Z</dcterms:created>
  <dcterms:modified xsi:type="dcterms:W3CDTF">2011-08-03T07:27:00Z</dcterms:modified>
</cp:coreProperties>
</file>